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A12" w:rsidRDefault="001D435C" w:rsidP="00286A12">
      <w:pPr>
        <w:rPr>
          <w:rStyle w:val="Strong"/>
        </w:rPr>
      </w:pPr>
      <w:r w:rsidRPr="001D435C">
        <w:rPr>
          <w:b/>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 )" style="position:absolute;left:0;text-align:left;margin-left:-56.35pt;margin-top:-71.25pt;width:594.75pt;height:841.5pt;z-index:-251656704;visibility:visible;mso-wrap-style:square;mso-wrap-distance-left:9pt;mso-wrap-distance-top:0;mso-wrap-distance-right:9pt;mso-wrap-distance-bottom:0;mso-position-horizontal-relative:text;mso-position-vertical-relative:text">
            <v:imagedata r:id="rId8" o:title=""/>
          </v:shape>
        </w:pict>
      </w:r>
    </w:p>
    <w:p w:rsidR="00395FCB" w:rsidRPr="00D61219" w:rsidRDefault="00286A12" w:rsidP="00D61219">
      <w:pPr>
        <w:pStyle w:val="T2"/>
        <w:tabs>
          <w:tab w:val="left" w:pos="7290"/>
        </w:tabs>
        <w:rPr>
          <w:color w:val="000000" w:themeColor="text1"/>
          <w:sz w:val="24"/>
          <w:szCs w:val="24"/>
        </w:rPr>
      </w:pPr>
      <w:r>
        <w:rPr>
          <w:b w:val="0"/>
          <w:sz w:val="24"/>
          <w:szCs w:val="24"/>
        </w:rPr>
        <w:br/>
      </w:r>
      <w:r w:rsidRPr="00286A12">
        <w:rPr>
          <w:b w:val="0"/>
          <w:sz w:val="24"/>
          <w:szCs w:val="24"/>
        </w:rPr>
        <w:t xml:space="preserve">QD: </w:t>
      </w:r>
      <w:r w:rsidR="002D29CD">
        <w:rPr>
          <w:b w:val="0"/>
          <w:sz w:val="24"/>
          <w:szCs w:val="24"/>
        </w:rPr>
        <w:t>2</w:t>
      </w:r>
      <w:r w:rsidR="00B765D9">
        <w:rPr>
          <w:b w:val="0"/>
          <w:sz w:val="24"/>
          <w:szCs w:val="24"/>
        </w:rPr>
        <w:t>6341</w:t>
      </w:r>
      <w:r w:rsidR="006441A4">
        <w:rPr>
          <w:b w:val="0"/>
          <w:sz w:val="24"/>
          <w:szCs w:val="24"/>
        </w:rPr>
        <w:t>63</w:t>
      </w:r>
      <w:r w:rsidR="00D61219">
        <w:rPr>
          <w:b w:val="0"/>
          <w:sz w:val="24"/>
          <w:szCs w:val="24"/>
        </w:rPr>
        <w:t xml:space="preserve">                                                   </w:t>
      </w:r>
    </w:p>
    <w:p w:rsidR="00286A12" w:rsidRPr="00D961CA" w:rsidRDefault="009F783F" w:rsidP="0076106A">
      <w:pPr>
        <w:pStyle w:val="T2"/>
        <w:jc w:val="left"/>
      </w:pPr>
      <w:r>
        <w:t>Conduct</w:t>
      </w:r>
      <w:r w:rsidR="00375AD4">
        <w:t xml:space="preserve">ing </w:t>
      </w:r>
      <w:r>
        <w:t xml:space="preserve">On-road </w:t>
      </w:r>
      <w:r w:rsidR="0076106A">
        <w:t>Trial</w:t>
      </w:r>
      <w:r>
        <w:t>s</w:t>
      </w:r>
      <w:r w:rsidR="0076106A">
        <w:t xml:space="preserve"> </w:t>
      </w:r>
      <w:r w:rsidR="00375AD4">
        <w:t xml:space="preserve">of </w:t>
      </w:r>
      <w:r w:rsidR="0076106A">
        <w:t xml:space="preserve">New </w:t>
      </w:r>
      <w:r w:rsidR="00ED62E9">
        <w:t>&amp;</w:t>
      </w:r>
      <w:r w:rsidR="0076106A">
        <w:t xml:space="preserve"> Innovative </w:t>
      </w:r>
      <w:r w:rsidR="00375AD4">
        <w:t>Treatments</w:t>
      </w:r>
      <w:r w:rsidR="0076106A">
        <w:t xml:space="preserve"> </w:t>
      </w:r>
      <w:r>
        <w:t>–</w:t>
      </w:r>
      <w:r w:rsidR="00286A12">
        <w:t xml:space="preserve"> </w:t>
      </w:r>
      <w:r w:rsidR="005E4EEA">
        <w:t>Guideline</w:t>
      </w:r>
    </w:p>
    <w:p w:rsidR="00286A12" w:rsidRPr="00600A64" w:rsidRDefault="00286A12" w:rsidP="00286A12">
      <w:pPr>
        <w:pStyle w:val="T3"/>
      </w:pPr>
      <w:r w:rsidRPr="00600A64">
        <w:t>Policy &amp; Programs</w:t>
      </w:r>
    </w:p>
    <w:p w:rsidR="00395FCB" w:rsidRPr="00C85CD5" w:rsidRDefault="00003658" w:rsidP="00FF0BE7">
      <w:pPr>
        <w:pStyle w:val="T4"/>
        <w:rPr>
          <w:lang w:val="en-AU"/>
        </w:rPr>
      </w:pPr>
      <w:r>
        <w:t>August</w:t>
      </w:r>
      <w:r w:rsidR="0076106A">
        <w:t xml:space="preserve"> 2014</w:t>
      </w:r>
      <w:r w:rsidR="00286A12">
        <w:tab/>
      </w:r>
      <w:r w:rsidR="00C85CD5">
        <w:tab/>
      </w:r>
      <w:r w:rsidR="00F174ED">
        <w:t xml:space="preserve">                                </w:t>
      </w:r>
      <w:r w:rsidR="00814808">
        <w:rPr>
          <w:color w:val="FF0000"/>
          <w:sz w:val="72"/>
          <w:lang w:val="en-AU"/>
        </w:rPr>
        <w:t xml:space="preserve"> </w:t>
      </w:r>
    </w:p>
    <w:p w:rsidR="00B42EFA" w:rsidRPr="006E7036" w:rsidRDefault="00395FCB" w:rsidP="00C4065D">
      <w:pPr>
        <w:pStyle w:val="Title"/>
        <w:rPr>
          <w:sz w:val="20"/>
          <w:szCs w:val="20"/>
        </w:rPr>
      </w:pPr>
      <w:r>
        <w:br w:type="page"/>
      </w:r>
    </w:p>
    <w:p w:rsidR="00513D13" w:rsidRPr="00286A12" w:rsidRDefault="001D435C" w:rsidP="000A2C64">
      <w:pPr>
        <w:pStyle w:val="Title"/>
        <w:ind w:left="0"/>
        <w:rPr>
          <w:color w:val="000000" w:themeColor="text1"/>
        </w:rPr>
      </w:pPr>
      <w:r w:rsidRPr="001D435C">
        <w:rPr>
          <w:rFonts w:ascii="Verdana-Bold" w:hAnsi="Verdana-Bold" w:cs="Verdana-Bold"/>
          <w:noProof/>
          <w:color w:val="000000" w:themeColor="text1"/>
          <w:szCs w:val="50"/>
        </w:rPr>
        <w:pict>
          <v:shape id="_x0000_s1026" type="#_x0000_t75" alt="VicRoads Logo" style="position:absolute;left:0;text-align:left;margin-left:425.7pt;margin-top:10.15pt;width:148.85pt;height:42.6pt;z-index:-251658752;mso-position-horizontal-relative:page;mso-position-vertical-relative:page">
            <v:imagedata r:id="rId9" o:title="" croptop="1412f" cropbottom="59223f" cropleft="39639f" cropright="1685f"/>
            <w10:wrap anchorx="page" anchory="page"/>
            <w10:anchorlock/>
          </v:shape>
        </w:pict>
      </w:r>
      <w:r w:rsidR="006B1B0E">
        <w:rPr>
          <w:color w:val="000000" w:themeColor="text1"/>
        </w:rPr>
        <w:t xml:space="preserve">Conducting On-road </w:t>
      </w:r>
      <w:r w:rsidR="00286A12" w:rsidRPr="00286A12">
        <w:rPr>
          <w:color w:val="000000" w:themeColor="text1"/>
        </w:rPr>
        <w:t>T</w:t>
      </w:r>
      <w:r w:rsidR="00B42EFA">
        <w:rPr>
          <w:color w:val="000000" w:themeColor="text1"/>
        </w:rPr>
        <w:t xml:space="preserve">rials of </w:t>
      </w:r>
      <w:r w:rsidR="002D0383">
        <w:rPr>
          <w:color w:val="000000" w:themeColor="text1"/>
        </w:rPr>
        <w:t>N</w:t>
      </w:r>
      <w:r w:rsidR="00B42EFA">
        <w:rPr>
          <w:color w:val="000000" w:themeColor="text1"/>
        </w:rPr>
        <w:t xml:space="preserve">ew </w:t>
      </w:r>
      <w:r w:rsidR="00ED62E9">
        <w:rPr>
          <w:color w:val="000000" w:themeColor="text1"/>
        </w:rPr>
        <w:t>&amp;</w:t>
      </w:r>
      <w:r w:rsidR="00B42EFA">
        <w:rPr>
          <w:color w:val="000000" w:themeColor="text1"/>
        </w:rPr>
        <w:t xml:space="preserve"> Innovative Treatments</w:t>
      </w:r>
      <w:r w:rsidR="00286A12" w:rsidRPr="00286A12">
        <w:rPr>
          <w:color w:val="000000" w:themeColor="text1"/>
        </w:rPr>
        <w:t xml:space="preserve"> </w:t>
      </w:r>
      <w:r w:rsidR="006B1B0E">
        <w:rPr>
          <w:color w:val="000000" w:themeColor="text1"/>
        </w:rPr>
        <w:t xml:space="preserve">– </w:t>
      </w:r>
      <w:r w:rsidR="005E4EEA">
        <w:rPr>
          <w:color w:val="000000" w:themeColor="text1"/>
        </w:rPr>
        <w:t>Guideline</w:t>
      </w:r>
    </w:p>
    <w:p w:rsidR="004630AA" w:rsidRDefault="004630AA" w:rsidP="00DB7157"/>
    <w:tbl>
      <w:tblPr>
        <w:tblW w:w="0" w:type="auto"/>
        <w:tblInd w:w="250" w:type="dxa"/>
        <w:tblBorders>
          <w:bottom w:val="single" w:sz="18" w:space="0" w:color="8CC63F"/>
        </w:tblBorders>
        <w:tblLook w:val="04A0"/>
      </w:tblPr>
      <w:tblGrid>
        <w:gridCol w:w="9214"/>
      </w:tblGrid>
      <w:tr w:rsidR="009F783F" w:rsidRPr="00EB5B20" w:rsidTr="000A2C64">
        <w:tc>
          <w:tcPr>
            <w:tcW w:w="9214" w:type="dxa"/>
            <w:shd w:val="clear" w:color="auto" w:fill="8CC63F"/>
          </w:tcPr>
          <w:p w:rsidR="009F783F" w:rsidRPr="009F783F" w:rsidRDefault="009F783F" w:rsidP="009F783F">
            <w:pPr>
              <w:pStyle w:val="H3"/>
              <w:numPr>
                <w:ilvl w:val="0"/>
                <w:numId w:val="0"/>
              </w:numPr>
              <w:jc w:val="center"/>
              <w:rPr>
                <w:color w:val="FFFFFF" w:themeColor="background1"/>
              </w:rPr>
            </w:pPr>
            <w:r>
              <w:rPr>
                <w:color w:val="FFFFFF" w:themeColor="background1"/>
              </w:rPr>
              <w:t>Guideline</w:t>
            </w:r>
            <w:r w:rsidRPr="009F783F">
              <w:rPr>
                <w:color w:val="FFFFFF" w:themeColor="background1"/>
              </w:rPr>
              <w:t xml:space="preserve"> Statement</w:t>
            </w:r>
          </w:p>
        </w:tc>
      </w:tr>
      <w:tr w:rsidR="009F783F" w:rsidTr="000A2C64">
        <w:tc>
          <w:tcPr>
            <w:tcW w:w="9214" w:type="dxa"/>
          </w:tcPr>
          <w:p w:rsidR="009F783F" w:rsidRPr="00E5464E" w:rsidRDefault="00E5464E" w:rsidP="0058142F">
            <w:pPr>
              <w:ind w:left="0" w:hanging="11"/>
              <w:jc w:val="center"/>
            </w:pPr>
            <w:r>
              <w:t xml:space="preserve">This guideline provides the framework for </w:t>
            </w:r>
            <w:r w:rsidR="00C76FB3">
              <w:t xml:space="preserve">conducting </w:t>
            </w:r>
            <w:r>
              <w:t xml:space="preserve">on-road trials of new and innovative road and roadside </w:t>
            </w:r>
            <w:r w:rsidR="00C0039C">
              <w:t>treatment</w:t>
            </w:r>
            <w:r>
              <w:t xml:space="preserve">s, </w:t>
            </w:r>
            <w:r w:rsidR="0058142F">
              <w:t xml:space="preserve">products and </w:t>
            </w:r>
            <w:r>
              <w:t>devices.</w:t>
            </w:r>
          </w:p>
        </w:tc>
      </w:tr>
    </w:tbl>
    <w:p w:rsidR="009F783F" w:rsidRDefault="009F783F" w:rsidP="00DB7157"/>
    <w:p w:rsidR="004630AA" w:rsidRPr="00A40D1F" w:rsidRDefault="004630AA" w:rsidP="00504C92">
      <w:pPr>
        <w:pStyle w:val="H3"/>
        <w:spacing w:before="0" w:after="120"/>
      </w:pPr>
      <w:r w:rsidRPr="00A40D1F">
        <w:t>Purpose</w:t>
      </w:r>
    </w:p>
    <w:p w:rsidR="00E5464E" w:rsidRDefault="00E5464E" w:rsidP="00E5464E">
      <w:pPr>
        <w:spacing w:after="0"/>
      </w:pPr>
      <w:r>
        <w:t xml:space="preserve">Proposals for the introduction of new and innovative </w:t>
      </w:r>
      <w:r w:rsidR="00C0039C">
        <w:t xml:space="preserve">treatments, </w:t>
      </w:r>
      <w:r>
        <w:t>products</w:t>
      </w:r>
      <w:r w:rsidR="00C0039C">
        <w:t xml:space="preserve"> and</w:t>
      </w:r>
      <w:r>
        <w:t xml:space="preserve"> devices onto the Victorian road network are regularly received by VicRoads.  These may be unsolicited or come about in response to a problem for which a satisfactory solution is not readily available</w:t>
      </w:r>
      <w:r w:rsidR="00091C05">
        <w:t xml:space="preserve"> or current approaches are less efficient</w:t>
      </w:r>
      <w:r>
        <w:t>. As part of the assessment process, it is often necessary to trial a treatment</w:t>
      </w:r>
      <w:r w:rsidR="00C0039C">
        <w:t>, product or device</w:t>
      </w:r>
      <w:r>
        <w:t xml:space="preserve"> on the road network in order to </w:t>
      </w:r>
      <w:r w:rsidR="002747FB">
        <w:t>gather</w:t>
      </w:r>
      <w:r>
        <w:t xml:space="preserve"> evidence of </w:t>
      </w:r>
      <w:r w:rsidR="002747FB">
        <w:t>its</w:t>
      </w:r>
      <w:r>
        <w:t xml:space="preserve"> in-service performance. A transparent and planned approach across the organisation is required.</w:t>
      </w:r>
    </w:p>
    <w:p w:rsidR="00E5464E" w:rsidRDefault="00E5464E" w:rsidP="00E5464E">
      <w:pPr>
        <w:spacing w:after="0"/>
      </w:pPr>
    </w:p>
    <w:p w:rsidR="00E5464E" w:rsidRPr="00E5464E" w:rsidRDefault="00E5464E" w:rsidP="00E5464E">
      <w:pPr>
        <w:spacing w:before="0" w:after="120"/>
      </w:pPr>
      <w:r>
        <w:t>This guideline ou</w:t>
      </w:r>
      <w:r w:rsidR="002747FB">
        <w:t>tlines VicRoads’ practice</w:t>
      </w:r>
      <w:r w:rsidR="00C76FB3">
        <w:t>s</w:t>
      </w:r>
      <w:r>
        <w:t xml:space="preserve"> and requirements for conducting on-road trials of new and innovative </w:t>
      </w:r>
      <w:r w:rsidR="00C0039C">
        <w:t xml:space="preserve">treatments, </w:t>
      </w:r>
      <w:r>
        <w:t>products</w:t>
      </w:r>
      <w:r w:rsidR="00C0039C">
        <w:t xml:space="preserve"> and</w:t>
      </w:r>
      <w:r>
        <w:t xml:space="preserve"> devices.</w:t>
      </w:r>
    </w:p>
    <w:p w:rsidR="00B1619F" w:rsidRDefault="00E5464E" w:rsidP="00B1619F">
      <w:pPr>
        <w:pStyle w:val="H3"/>
        <w:spacing w:before="0" w:after="120"/>
      </w:pPr>
      <w:r>
        <w:t>Definitions</w:t>
      </w:r>
    </w:p>
    <w:p w:rsidR="00E5464E" w:rsidRDefault="00E5464E" w:rsidP="00E5464E">
      <w:pPr>
        <w:spacing w:after="120"/>
      </w:pPr>
      <w:r>
        <w:t xml:space="preserve">The definitions and abbreviations </w:t>
      </w:r>
      <w:r w:rsidR="002A5A78">
        <w:t>in the following table apply to this guideline.</w:t>
      </w:r>
    </w:p>
    <w:tbl>
      <w:tblPr>
        <w:tblW w:w="0" w:type="auto"/>
        <w:tblInd w:w="817" w:type="dxa"/>
        <w:tblBorders>
          <w:bottom w:val="single" w:sz="18" w:space="0" w:color="92D050"/>
        </w:tblBorders>
        <w:tblLook w:val="04A0"/>
      </w:tblPr>
      <w:tblGrid>
        <w:gridCol w:w="1667"/>
        <w:gridCol w:w="6980"/>
      </w:tblGrid>
      <w:tr w:rsidR="00E5464E" w:rsidTr="002A5A78">
        <w:tc>
          <w:tcPr>
            <w:tcW w:w="1667" w:type="dxa"/>
            <w:tcBorders>
              <w:bottom w:val="nil"/>
            </w:tcBorders>
            <w:shd w:val="clear" w:color="auto" w:fill="8CC63F"/>
          </w:tcPr>
          <w:p w:rsidR="00E5464E" w:rsidRPr="005C3F7D" w:rsidRDefault="00E5464E" w:rsidP="00E5464E">
            <w:pPr>
              <w:pStyle w:val="Heading1"/>
              <w:ind w:hanging="34"/>
              <w:rPr>
                <w:noProof/>
                <w:color w:val="FFFFFF" w:themeColor="background1"/>
              </w:rPr>
            </w:pPr>
            <w:r>
              <w:rPr>
                <w:noProof/>
                <w:color w:val="FFFFFF" w:themeColor="background1"/>
              </w:rPr>
              <w:t>Term</w:t>
            </w:r>
          </w:p>
        </w:tc>
        <w:tc>
          <w:tcPr>
            <w:tcW w:w="6980" w:type="dxa"/>
            <w:tcBorders>
              <w:bottom w:val="nil"/>
            </w:tcBorders>
            <w:shd w:val="clear" w:color="auto" w:fill="8CC63F"/>
          </w:tcPr>
          <w:p w:rsidR="00E5464E" w:rsidRPr="005C3F7D" w:rsidRDefault="00E5464E" w:rsidP="00E5464E">
            <w:pPr>
              <w:pStyle w:val="Heading1"/>
              <w:ind w:hanging="34"/>
              <w:rPr>
                <w:noProof/>
                <w:color w:val="FFFFFF" w:themeColor="background1"/>
              </w:rPr>
            </w:pPr>
            <w:r>
              <w:rPr>
                <w:noProof/>
                <w:color w:val="FFFFFF" w:themeColor="background1"/>
              </w:rPr>
              <w:t>Meaning</w:t>
            </w:r>
          </w:p>
        </w:tc>
      </w:tr>
      <w:tr w:rsidR="00E5464E" w:rsidTr="002A5A78">
        <w:tc>
          <w:tcPr>
            <w:tcW w:w="1667" w:type="dxa"/>
            <w:tcBorders>
              <w:bottom w:val="single" w:sz="8" w:space="0" w:color="92D050"/>
              <w:right w:val="single" w:sz="8" w:space="0" w:color="92D050"/>
            </w:tcBorders>
          </w:tcPr>
          <w:p w:rsidR="00E5464E" w:rsidRPr="005C3F7D" w:rsidRDefault="00C0039C" w:rsidP="002A5A78">
            <w:pPr>
              <w:ind w:left="284"/>
              <w:rPr>
                <w:color w:val="37424A"/>
              </w:rPr>
            </w:pPr>
            <w:r>
              <w:rPr>
                <w:color w:val="37424A"/>
              </w:rPr>
              <w:t>Treatment</w:t>
            </w:r>
          </w:p>
        </w:tc>
        <w:tc>
          <w:tcPr>
            <w:tcW w:w="6980" w:type="dxa"/>
            <w:tcBorders>
              <w:left w:val="single" w:sz="8" w:space="0" w:color="92D050"/>
              <w:bottom w:val="single" w:sz="8" w:space="0" w:color="92D050"/>
            </w:tcBorders>
          </w:tcPr>
          <w:p w:rsidR="00E5464E" w:rsidRPr="005C3F7D" w:rsidRDefault="00AF317F" w:rsidP="00C87D72">
            <w:pPr>
              <w:ind w:left="175"/>
              <w:rPr>
                <w:color w:val="37424A"/>
              </w:rPr>
            </w:pPr>
            <w:r>
              <w:t xml:space="preserve">Road and roadside infrastructure or infrastructure components, including physical </w:t>
            </w:r>
            <w:r w:rsidR="00E5464E">
              <w:t>product</w:t>
            </w:r>
            <w:r>
              <w:t xml:space="preserve">s and </w:t>
            </w:r>
            <w:r w:rsidR="00986A69">
              <w:t>devices, which</w:t>
            </w:r>
            <w:r w:rsidR="00E5464E">
              <w:t xml:space="preserve"> </w:t>
            </w:r>
            <w:r>
              <w:t>are</w:t>
            </w:r>
            <w:r w:rsidR="00E5464E">
              <w:t xml:space="preserve"> used </w:t>
            </w:r>
            <w:r w:rsidR="00C87D72">
              <w:t>to</w:t>
            </w:r>
            <w:r w:rsidR="00E5464E">
              <w:t xml:space="preserve"> guid</w:t>
            </w:r>
            <w:r w:rsidR="00C87D72">
              <w:t>e</w:t>
            </w:r>
            <w:r w:rsidR="00E5464E">
              <w:t>, inform</w:t>
            </w:r>
            <w:r w:rsidR="00C87D72">
              <w:t>, control</w:t>
            </w:r>
            <w:r w:rsidR="00F80E8A">
              <w:t>, regulat</w:t>
            </w:r>
            <w:r w:rsidR="00C87D72">
              <w:t xml:space="preserve">e, </w:t>
            </w:r>
            <w:r w:rsidR="00E5464E">
              <w:t>manag</w:t>
            </w:r>
            <w:r w:rsidR="00C87D72">
              <w:t>e</w:t>
            </w:r>
            <w:r w:rsidR="00E5464E">
              <w:t xml:space="preserve"> </w:t>
            </w:r>
            <w:r w:rsidR="00C87D72">
              <w:t xml:space="preserve">or </w:t>
            </w:r>
            <w:r w:rsidR="00323F55">
              <w:t xml:space="preserve">otherwise </w:t>
            </w:r>
            <w:r w:rsidR="00C87D72">
              <w:t xml:space="preserve">provide for </w:t>
            </w:r>
            <w:r w:rsidR="00E5464E">
              <w:t xml:space="preserve">vehicular traffic and / or </w:t>
            </w:r>
            <w:r w:rsidR="008D1791">
              <w:t xml:space="preserve">other </w:t>
            </w:r>
            <w:r w:rsidR="00E5464E">
              <w:t>road use</w:t>
            </w:r>
            <w:r w:rsidR="00BE3CB9">
              <w:t>r</w:t>
            </w:r>
            <w:r w:rsidR="00E5464E">
              <w:t>s.</w:t>
            </w:r>
          </w:p>
        </w:tc>
      </w:tr>
      <w:tr w:rsidR="00E5464E" w:rsidTr="006D1D39">
        <w:tc>
          <w:tcPr>
            <w:tcW w:w="1667" w:type="dxa"/>
            <w:tcBorders>
              <w:top w:val="single" w:sz="8" w:space="0" w:color="92D050"/>
              <w:bottom w:val="single" w:sz="8" w:space="0" w:color="92D050"/>
              <w:right w:val="single" w:sz="8" w:space="0" w:color="92D050"/>
            </w:tcBorders>
          </w:tcPr>
          <w:p w:rsidR="00E5464E" w:rsidRPr="005C3F7D" w:rsidRDefault="00E5464E" w:rsidP="002A5A78">
            <w:pPr>
              <w:ind w:left="284"/>
              <w:rPr>
                <w:color w:val="37424A"/>
              </w:rPr>
            </w:pPr>
            <w:r>
              <w:rPr>
                <w:color w:val="37424A"/>
              </w:rPr>
              <w:t>Trial</w:t>
            </w:r>
          </w:p>
        </w:tc>
        <w:tc>
          <w:tcPr>
            <w:tcW w:w="6980" w:type="dxa"/>
            <w:tcBorders>
              <w:top w:val="single" w:sz="8" w:space="0" w:color="92D050"/>
              <w:left w:val="single" w:sz="8" w:space="0" w:color="92D050"/>
              <w:bottom w:val="single" w:sz="8" w:space="0" w:color="92D050"/>
            </w:tcBorders>
          </w:tcPr>
          <w:p w:rsidR="00E5464E" w:rsidRPr="00941130" w:rsidRDefault="00E5464E" w:rsidP="008846A4">
            <w:pPr>
              <w:ind w:left="175"/>
            </w:pPr>
            <w:r>
              <w:rPr>
                <w:color w:val="37424A"/>
              </w:rPr>
              <w:t xml:space="preserve">A </w:t>
            </w:r>
            <w:r>
              <w:t xml:space="preserve">formal, structured process to assess the in-service performance of a </w:t>
            </w:r>
            <w:r w:rsidR="00C0039C">
              <w:t>treatment</w:t>
            </w:r>
            <w:r>
              <w:t xml:space="preserve">, usually by the limited application of the </w:t>
            </w:r>
            <w:r w:rsidR="008846A4">
              <w:t>treatment</w:t>
            </w:r>
            <w:r>
              <w:t xml:space="preserve"> on the road network for a specified period of time with an evaluation of performance based on pre</w:t>
            </w:r>
            <w:r w:rsidR="002747FB">
              <w:t>scribed</w:t>
            </w:r>
            <w:r>
              <w:t xml:space="preserve"> criteria. </w:t>
            </w:r>
          </w:p>
        </w:tc>
      </w:tr>
      <w:tr w:rsidR="00DE3A17" w:rsidTr="006D1D39">
        <w:tc>
          <w:tcPr>
            <w:tcW w:w="1667" w:type="dxa"/>
            <w:tcBorders>
              <w:top w:val="single" w:sz="8" w:space="0" w:color="92D050"/>
              <w:bottom w:val="single" w:sz="8" w:space="0" w:color="92D050"/>
              <w:right w:val="single" w:sz="8" w:space="0" w:color="92D050"/>
            </w:tcBorders>
          </w:tcPr>
          <w:p w:rsidR="00DE3A17" w:rsidRDefault="00DE3A17" w:rsidP="006D1D39">
            <w:pPr>
              <w:ind w:left="284"/>
              <w:rPr>
                <w:color w:val="37424A"/>
              </w:rPr>
            </w:pPr>
            <w:r>
              <w:rPr>
                <w:color w:val="37424A"/>
              </w:rPr>
              <w:t>BMF</w:t>
            </w:r>
          </w:p>
        </w:tc>
        <w:tc>
          <w:tcPr>
            <w:tcW w:w="6980" w:type="dxa"/>
            <w:tcBorders>
              <w:top w:val="single" w:sz="8" w:space="0" w:color="92D050"/>
              <w:left w:val="single" w:sz="8" w:space="0" w:color="92D050"/>
              <w:bottom w:val="single" w:sz="8" w:space="0" w:color="92D050"/>
            </w:tcBorders>
          </w:tcPr>
          <w:p w:rsidR="00DE3A17" w:rsidRDefault="00DE3A17" w:rsidP="007612F1">
            <w:pPr>
              <w:ind w:left="175"/>
            </w:pPr>
            <w:r>
              <w:t>VicRoads’ Benefit management Framework</w:t>
            </w:r>
          </w:p>
        </w:tc>
      </w:tr>
      <w:tr w:rsidR="006D1D39" w:rsidTr="006D1D39">
        <w:tc>
          <w:tcPr>
            <w:tcW w:w="1667" w:type="dxa"/>
            <w:tcBorders>
              <w:top w:val="single" w:sz="8" w:space="0" w:color="92D050"/>
              <w:bottom w:val="single" w:sz="8" w:space="0" w:color="92D050"/>
              <w:right w:val="single" w:sz="8" w:space="0" w:color="92D050"/>
            </w:tcBorders>
          </w:tcPr>
          <w:p w:rsidR="006D1D39" w:rsidRDefault="006D1D39" w:rsidP="006D1D39">
            <w:pPr>
              <w:ind w:left="284"/>
              <w:rPr>
                <w:color w:val="37424A"/>
              </w:rPr>
            </w:pPr>
            <w:r>
              <w:rPr>
                <w:color w:val="37424A"/>
              </w:rPr>
              <w:t>IEF</w:t>
            </w:r>
          </w:p>
        </w:tc>
        <w:tc>
          <w:tcPr>
            <w:tcW w:w="6980" w:type="dxa"/>
            <w:tcBorders>
              <w:top w:val="single" w:sz="8" w:space="0" w:color="92D050"/>
              <w:left w:val="single" w:sz="8" w:space="0" w:color="92D050"/>
              <w:bottom w:val="single" w:sz="8" w:space="0" w:color="92D050"/>
            </w:tcBorders>
          </w:tcPr>
          <w:p w:rsidR="006D1D39" w:rsidRPr="00E94E3C" w:rsidRDefault="00323F55" w:rsidP="007612F1">
            <w:pPr>
              <w:ind w:left="175"/>
            </w:pPr>
            <w:r>
              <w:t xml:space="preserve">VicRoads’ </w:t>
            </w:r>
            <w:r w:rsidR="006D1D39">
              <w:t>Investment Evaluation Framework</w:t>
            </w:r>
          </w:p>
        </w:tc>
      </w:tr>
      <w:tr w:rsidR="003641F8" w:rsidTr="006D1D39">
        <w:tc>
          <w:tcPr>
            <w:tcW w:w="1667" w:type="dxa"/>
            <w:tcBorders>
              <w:top w:val="single" w:sz="8" w:space="0" w:color="92D050"/>
              <w:right w:val="single" w:sz="8" w:space="0" w:color="92D050"/>
            </w:tcBorders>
          </w:tcPr>
          <w:p w:rsidR="003641F8" w:rsidRDefault="003641F8" w:rsidP="002A5A78">
            <w:pPr>
              <w:ind w:left="284"/>
              <w:rPr>
                <w:color w:val="37424A"/>
              </w:rPr>
            </w:pPr>
            <w:r>
              <w:rPr>
                <w:color w:val="37424A"/>
              </w:rPr>
              <w:t>ITS</w:t>
            </w:r>
          </w:p>
        </w:tc>
        <w:tc>
          <w:tcPr>
            <w:tcW w:w="6980" w:type="dxa"/>
            <w:tcBorders>
              <w:top w:val="single" w:sz="8" w:space="0" w:color="92D050"/>
              <w:left w:val="single" w:sz="8" w:space="0" w:color="92D050"/>
              <w:bottom w:val="single" w:sz="18" w:space="0" w:color="92D050"/>
            </w:tcBorders>
          </w:tcPr>
          <w:p w:rsidR="003641F8" w:rsidRPr="00E94E3C" w:rsidRDefault="003641F8" w:rsidP="002A5A78">
            <w:pPr>
              <w:ind w:left="175"/>
            </w:pPr>
            <w:r w:rsidRPr="00E94E3C">
              <w:t>Intelligent transport system</w:t>
            </w:r>
            <w:r w:rsidR="006A4BA9" w:rsidRPr="00E94E3C">
              <w:t>s</w:t>
            </w:r>
          </w:p>
        </w:tc>
      </w:tr>
    </w:tbl>
    <w:p w:rsidR="00E5464E" w:rsidRDefault="00E5464E" w:rsidP="00E5464E">
      <w:pPr>
        <w:spacing w:after="0"/>
      </w:pPr>
    </w:p>
    <w:p w:rsidR="004630AA" w:rsidRPr="00C4065D" w:rsidRDefault="004630AA" w:rsidP="00504C92">
      <w:pPr>
        <w:pStyle w:val="H3"/>
        <w:spacing w:before="0" w:after="120"/>
      </w:pPr>
      <w:r w:rsidRPr="00C4065D">
        <w:t>Scope</w:t>
      </w:r>
    </w:p>
    <w:p w:rsidR="00E5464E" w:rsidRDefault="00E5464E" w:rsidP="002747FB">
      <w:r>
        <w:t xml:space="preserve">This guideline applies to </w:t>
      </w:r>
      <w:r w:rsidR="00C0039C">
        <w:t>treatment</w:t>
      </w:r>
      <w:r>
        <w:t>s that:</w:t>
      </w:r>
    </w:p>
    <w:p w:rsidR="00E5464E" w:rsidRDefault="00E5464E" w:rsidP="00A727C6">
      <w:pPr>
        <w:numPr>
          <w:ilvl w:val="0"/>
          <w:numId w:val="4"/>
        </w:numPr>
      </w:pPr>
      <w:r>
        <w:t>Have not previously been used on the Victorian road network</w:t>
      </w:r>
      <w:r w:rsidR="0058142F">
        <w:t xml:space="preserve"> and there are no existing guidelines, standards or specifications </w:t>
      </w:r>
      <w:r w:rsidR="00053936">
        <w:t xml:space="preserve">that are </w:t>
      </w:r>
      <w:r w:rsidR="0058142F">
        <w:t>relevant to their use</w:t>
      </w:r>
      <w:r w:rsidR="00053936">
        <w:t xml:space="preserve"> in Victoria</w:t>
      </w:r>
      <w:r>
        <w:t>, or</w:t>
      </w:r>
    </w:p>
    <w:p w:rsidR="00DE3A17" w:rsidRDefault="00DE3A17" w:rsidP="00DE3A17"/>
    <w:p w:rsidR="00DE3A17" w:rsidRDefault="00DE3A17" w:rsidP="00DE3A17"/>
    <w:p w:rsidR="00E5464E" w:rsidRDefault="00E5464E" w:rsidP="00DE3A17">
      <w:pPr>
        <w:numPr>
          <w:ilvl w:val="0"/>
          <w:numId w:val="4"/>
        </w:numPr>
        <w:spacing w:after="120"/>
        <w:ind w:left="1426"/>
      </w:pPr>
      <w:r>
        <w:t xml:space="preserve">May be similar to </w:t>
      </w:r>
      <w:r w:rsidR="00C0039C">
        <w:t>treatment</w:t>
      </w:r>
      <w:r>
        <w:t xml:space="preserve">s that have been </w:t>
      </w:r>
      <w:r w:rsidR="0058142F">
        <w:t xml:space="preserve">used or </w:t>
      </w:r>
      <w:r>
        <w:t xml:space="preserve">approved for use on the Victorian road network but </w:t>
      </w:r>
      <w:r w:rsidR="0058142F">
        <w:t xml:space="preserve">they </w:t>
      </w:r>
      <w:r>
        <w:t xml:space="preserve">have </w:t>
      </w:r>
      <w:r w:rsidR="0058142F">
        <w:t xml:space="preserve">specific </w:t>
      </w:r>
      <w:r>
        <w:t xml:space="preserve">characteristics </w:t>
      </w:r>
      <w:r w:rsidR="00D316DD">
        <w:t xml:space="preserve">that </w:t>
      </w:r>
      <w:r w:rsidR="0058142F">
        <w:t xml:space="preserve">are different </w:t>
      </w:r>
      <w:r>
        <w:t xml:space="preserve">or </w:t>
      </w:r>
      <w:r w:rsidR="00375565">
        <w:t xml:space="preserve">it is proposed </w:t>
      </w:r>
      <w:r w:rsidR="00744FFC">
        <w:t xml:space="preserve">that </w:t>
      </w:r>
      <w:r w:rsidR="00375565">
        <w:t>they be used in</w:t>
      </w:r>
      <w:r w:rsidR="00D316DD">
        <w:t xml:space="preserve"> a fundamentally different manner.</w:t>
      </w:r>
    </w:p>
    <w:p w:rsidR="00A8361D" w:rsidRDefault="008D1791" w:rsidP="008D1791">
      <w:r>
        <w:t xml:space="preserve">The guideline should be used for on-road </w:t>
      </w:r>
      <w:r w:rsidR="00863EDD">
        <w:t xml:space="preserve">trials </w:t>
      </w:r>
      <w:r w:rsidR="000C6A36">
        <w:t xml:space="preserve">(subject to exceptions outlined in Section 7) </w:t>
      </w:r>
      <w:r w:rsidR="00863EDD">
        <w:t>tha</w:t>
      </w:r>
      <w:r w:rsidR="00A8361D">
        <w:t>t:</w:t>
      </w:r>
    </w:p>
    <w:p w:rsidR="008D1791" w:rsidRDefault="00A8361D" w:rsidP="00A727C6">
      <w:pPr>
        <w:numPr>
          <w:ilvl w:val="0"/>
          <w:numId w:val="10"/>
        </w:numPr>
      </w:pPr>
      <w:r>
        <w:t xml:space="preserve">Are managed by </w:t>
      </w:r>
      <w:r w:rsidR="000C6A36">
        <w:t xml:space="preserve">or on behalf of </w:t>
      </w:r>
      <w:r>
        <w:t>VicRoads, or</w:t>
      </w:r>
    </w:p>
    <w:p w:rsidR="00A8361D" w:rsidRDefault="00A8361D" w:rsidP="00A727C6">
      <w:pPr>
        <w:numPr>
          <w:ilvl w:val="0"/>
          <w:numId w:val="10"/>
        </w:numPr>
      </w:pPr>
      <w:r>
        <w:t>Are conducted on any road for which VicRoads is responsible, or</w:t>
      </w:r>
    </w:p>
    <w:p w:rsidR="00A8361D" w:rsidRDefault="00A8361D" w:rsidP="00A727C6">
      <w:pPr>
        <w:numPr>
          <w:ilvl w:val="0"/>
          <w:numId w:val="10"/>
        </w:numPr>
        <w:spacing w:after="120"/>
        <w:ind w:left="1418" w:hanging="278"/>
      </w:pPr>
      <w:r>
        <w:t>Are expected to have an out</w:t>
      </w:r>
      <w:r w:rsidR="000C6A36">
        <w:t>come that impacts on VicRoads</w:t>
      </w:r>
      <w:r w:rsidR="00323F55">
        <w:t>’</w:t>
      </w:r>
      <w:r w:rsidR="000C6A36">
        <w:t xml:space="preserve"> responsibilities (such as changes to standards, guidelines, specifications or road rules). </w:t>
      </w:r>
    </w:p>
    <w:p w:rsidR="004630AA" w:rsidRPr="00C4065D" w:rsidRDefault="00812803" w:rsidP="00504C92">
      <w:pPr>
        <w:pStyle w:val="H3"/>
        <w:spacing w:before="0" w:after="120"/>
      </w:pPr>
      <w:r>
        <w:t>Guideline</w:t>
      </w:r>
      <w:r w:rsidR="005A07DA" w:rsidRPr="00C4065D">
        <w:t xml:space="preserve"> </w:t>
      </w:r>
      <w:r w:rsidR="00AD4BFE" w:rsidRPr="00C4065D">
        <w:t>Principles</w:t>
      </w:r>
      <w:r w:rsidR="004630AA" w:rsidRPr="00C4065D">
        <w:t xml:space="preserve"> </w:t>
      </w:r>
    </w:p>
    <w:p w:rsidR="00FA3C4A" w:rsidRDefault="00FA3C4A" w:rsidP="00504C92">
      <w:pPr>
        <w:spacing w:before="0" w:after="120"/>
        <w:rPr>
          <w:color w:val="37424A"/>
        </w:rPr>
      </w:pPr>
      <w:r>
        <w:rPr>
          <w:color w:val="37424A"/>
        </w:rPr>
        <w:t xml:space="preserve">The following </w:t>
      </w:r>
      <w:r w:rsidRPr="00C4065D">
        <w:rPr>
          <w:color w:val="37424A"/>
        </w:rPr>
        <w:t xml:space="preserve">principles have been </w:t>
      </w:r>
      <w:r>
        <w:rPr>
          <w:color w:val="37424A"/>
        </w:rPr>
        <w:t>developed to support decision making regarding on-road trials of new and innovative treatments:</w:t>
      </w:r>
    </w:p>
    <w:p w:rsidR="00FA3C4A" w:rsidRDefault="00FA3C4A" w:rsidP="00504C92">
      <w:pPr>
        <w:spacing w:before="0" w:after="120"/>
        <w:rPr>
          <w:rFonts w:cs="Calibri"/>
          <w:color w:val="37424A"/>
          <w:szCs w:val="20"/>
        </w:rPr>
      </w:pPr>
      <w:r w:rsidRPr="00FA3C4A">
        <w:rPr>
          <w:i/>
          <w:color w:val="37424A"/>
        </w:rPr>
        <w:t xml:space="preserve">Guideline </w:t>
      </w:r>
      <w:r>
        <w:rPr>
          <w:i/>
          <w:color w:val="37424A"/>
        </w:rPr>
        <w:t>P</w:t>
      </w:r>
      <w:r w:rsidRPr="00FA3C4A">
        <w:rPr>
          <w:i/>
          <w:color w:val="37424A"/>
        </w:rPr>
        <w:t>rinciple 1</w:t>
      </w:r>
      <w:r>
        <w:rPr>
          <w:color w:val="37424A"/>
        </w:rPr>
        <w:t xml:space="preserve">: </w:t>
      </w:r>
      <w:r w:rsidR="001D69F9">
        <w:rPr>
          <w:color w:val="37424A"/>
        </w:rPr>
        <w:t xml:space="preserve">Ensure that </w:t>
      </w:r>
      <w:r w:rsidR="00F23E51">
        <w:rPr>
          <w:color w:val="37424A"/>
        </w:rPr>
        <w:t xml:space="preserve">any proposed </w:t>
      </w:r>
      <w:r w:rsidR="00DC7787">
        <w:rPr>
          <w:rFonts w:cs="Calibri"/>
          <w:color w:val="37424A"/>
          <w:szCs w:val="20"/>
        </w:rPr>
        <w:t>new or innovative treatment</w:t>
      </w:r>
      <w:r w:rsidR="00F23E51">
        <w:rPr>
          <w:rFonts w:cs="Calibri"/>
          <w:color w:val="37424A"/>
          <w:szCs w:val="20"/>
        </w:rPr>
        <w:t xml:space="preserve"> </w:t>
      </w:r>
      <w:r w:rsidR="00E32067" w:rsidRPr="00201849">
        <w:rPr>
          <w:rFonts w:cs="Calibri"/>
          <w:szCs w:val="20"/>
        </w:rPr>
        <w:t>is a viable option t</w:t>
      </w:r>
      <w:r w:rsidR="00201849" w:rsidRPr="00201849">
        <w:rPr>
          <w:rFonts w:cs="Calibri"/>
          <w:szCs w:val="20"/>
        </w:rPr>
        <w:t>hat</w:t>
      </w:r>
      <w:r w:rsidR="00F23E51" w:rsidRPr="00201849">
        <w:rPr>
          <w:rFonts w:cs="Calibri"/>
          <w:szCs w:val="20"/>
        </w:rPr>
        <w:t xml:space="preserve"> address</w:t>
      </w:r>
      <w:r w:rsidR="00201849" w:rsidRPr="00201849">
        <w:rPr>
          <w:rFonts w:cs="Calibri"/>
          <w:szCs w:val="20"/>
        </w:rPr>
        <w:t>es</w:t>
      </w:r>
      <w:r w:rsidR="00F23E51" w:rsidRPr="00201849">
        <w:rPr>
          <w:rFonts w:cs="Calibri"/>
          <w:szCs w:val="20"/>
        </w:rPr>
        <w:t xml:space="preserve"> an identified problem </w:t>
      </w:r>
      <w:r w:rsidR="000C2ACE" w:rsidRPr="00201849">
        <w:rPr>
          <w:rFonts w:cs="Calibri"/>
          <w:szCs w:val="20"/>
        </w:rPr>
        <w:t xml:space="preserve">or </w:t>
      </w:r>
      <w:r w:rsidR="00E32067" w:rsidRPr="00201849">
        <w:rPr>
          <w:rFonts w:cs="Calibri"/>
          <w:szCs w:val="20"/>
        </w:rPr>
        <w:t>offers a new opportunity</w:t>
      </w:r>
      <w:r w:rsidR="00DC7787">
        <w:rPr>
          <w:color w:val="37424A"/>
        </w:rPr>
        <w:t>.</w:t>
      </w:r>
      <w:r>
        <w:rPr>
          <w:rFonts w:cs="Calibri"/>
          <w:color w:val="37424A"/>
          <w:szCs w:val="20"/>
        </w:rPr>
        <w:t xml:space="preserve"> </w:t>
      </w:r>
    </w:p>
    <w:p w:rsidR="00F23E51" w:rsidRPr="00F23E51" w:rsidRDefault="00F23E51" w:rsidP="00504C92">
      <w:pPr>
        <w:spacing w:before="0" w:after="120"/>
        <w:rPr>
          <w:rFonts w:cs="Calibri"/>
          <w:color w:val="37424A"/>
          <w:szCs w:val="20"/>
        </w:rPr>
      </w:pPr>
      <w:r w:rsidRPr="00FA3C4A">
        <w:rPr>
          <w:i/>
          <w:color w:val="37424A"/>
        </w:rPr>
        <w:t>Guidelines Principle 2</w:t>
      </w:r>
      <w:r>
        <w:rPr>
          <w:color w:val="37424A"/>
        </w:rPr>
        <w:t xml:space="preserve">: Minimise, as far as practicable, all safety, legal, reputational and financial risks associated with </w:t>
      </w:r>
      <w:r w:rsidR="001643E7">
        <w:rPr>
          <w:color w:val="37424A"/>
        </w:rPr>
        <w:t>the</w:t>
      </w:r>
      <w:r>
        <w:rPr>
          <w:color w:val="37424A"/>
        </w:rPr>
        <w:t xml:space="preserve"> on-road trial.</w:t>
      </w:r>
    </w:p>
    <w:p w:rsidR="00FA3C4A" w:rsidRDefault="00FA3C4A" w:rsidP="00504C92">
      <w:pPr>
        <w:spacing w:before="0" w:after="120"/>
        <w:rPr>
          <w:color w:val="37424A"/>
        </w:rPr>
      </w:pPr>
      <w:r w:rsidRPr="00FA3C4A">
        <w:rPr>
          <w:i/>
          <w:color w:val="37424A"/>
        </w:rPr>
        <w:t xml:space="preserve">Guidelines Principle </w:t>
      </w:r>
      <w:r w:rsidR="00DF6382">
        <w:rPr>
          <w:i/>
          <w:color w:val="37424A"/>
        </w:rPr>
        <w:t>3</w:t>
      </w:r>
      <w:r>
        <w:rPr>
          <w:color w:val="37424A"/>
        </w:rPr>
        <w:t xml:space="preserve">: </w:t>
      </w:r>
      <w:r w:rsidR="00F23E51">
        <w:rPr>
          <w:color w:val="37424A"/>
        </w:rPr>
        <w:t xml:space="preserve">Ensure that </w:t>
      </w:r>
      <w:r w:rsidR="001643E7">
        <w:rPr>
          <w:color w:val="37424A"/>
        </w:rPr>
        <w:t>the</w:t>
      </w:r>
      <w:r w:rsidR="00F23E51">
        <w:rPr>
          <w:color w:val="37424A"/>
        </w:rPr>
        <w:t xml:space="preserve"> on-road trial will e</w:t>
      </w:r>
      <w:r>
        <w:rPr>
          <w:color w:val="37424A"/>
        </w:rPr>
        <w:t xml:space="preserve">nable </w:t>
      </w:r>
      <w:r w:rsidR="001D69F9">
        <w:rPr>
          <w:color w:val="37424A"/>
        </w:rPr>
        <w:t xml:space="preserve">the benefits and </w:t>
      </w:r>
      <w:r w:rsidR="00DE3A17">
        <w:rPr>
          <w:color w:val="37424A"/>
        </w:rPr>
        <w:t>disbenefits</w:t>
      </w:r>
      <w:r w:rsidR="001D69F9">
        <w:rPr>
          <w:color w:val="37424A"/>
        </w:rPr>
        <w:t xml:space="preserve"> of </w:t>
      </w:r>
      <w:r w:rsidR="00F23E51">
        <w:rPr>
          <w:color w:val="37424A"/>
        </w:rPr>
        <w:t xml:space="preserve">a </w:t>
      </w:r>
      <w:r w:rsidR="001D69F9">
        <w:rPr>
          <w:color w:val="37424A"/>
        </w:rPr>
        <w:t>n</w:t>
      </w:r>
      <w:r>
        <w:rPr>
          <w:color w:val="37424A"/>
        </w:rPr>
        <w:t xml:space="preserve">ew </w:t>
      </w:r>
      <w:r w:rsidR="00F23E51">
        <w:rPr>
          <w:color w:val="37424A"/>
        </w:rPr>
        <w:t>or</w:t>
      </w:r>
      <w:r>
        <w:rPr>
          <w:color w:val="37424A"/>
        </w:rPr>
        <w:t xml:space="preserve"> innovative </w:t>
      </w:r>
      <w:r w:rsidR="001643E7">
        <w:rPr>
          <w:color w:val="37424A"/>
        </w:rPr>
        <w:t>treatment</w:t>
      </w:r>
      <w:r>
        <w:rPr>
          <w:color w:val="37424A"/>
        </w:rPr>
        <w:t xml:space="preserve"> </w:t>
      </w:r>
      <w:r w:rsidR="00986881">
        <w:rPr>
          <w:color w:val="37424A"/>
        </w:rPr>
        <w:t xml:space="preserve">to be </w:t>
      </w:r>
      <w:r w:rsidR="00F23E51">
        <w:rPr>
          <w:color w:val="37424A"/>
        </w:rPr>
        <w:t>evaluated</w:t>
      </w:r>
      <w:r w:rsidR="00DC7787">
        <w:rPr>
          <w:color w:val="37424A"/>
        </w:rPr>
        <w:t>.</w:t>
      </w:r>
    </w:p>
    <w:p w:rsidR="00986881" w:rsidRDefault="00986881" w:rsidP="00504C92">
      <w:pPr>
        <w:spacing w:before="0" w:after="120"/>
        <w:rPr>
          <w:color w:val="37424A"/>
        </w:rPr>
      </w:pPr>
      <w:r w:rsidRPr="00FA3C4A">
        <w:rPr>
          <w:i/>
          <w:color w:val="37424A"/>
        </w:rPr>
        <w:t xml:space="preserve">Guidelines Principle </w:t>
      </w:r>
      <w:r w:rsidR="00DF6382">
        <w:rPr>
          <w:i/>
          <w:color w:val="37424A"/>
        </w:rPr>
        <w:t>4</w:t>
      </w:r>
      <w:r>
        <w:rPr>
          <w:color w:val="37424A"/>
        </w:rPr>
        <w:t>: Identify and engage key internal and external stakeholders</w:t>
      </w:r>
      <w:r w:rsidR="001643E7">
        <w:rPr>
          <w:color w:val="37424A"/>
        </w:rPr>
        <w:t xml:space="preserve"> to ensure that the on-road trial is conducted in a robust and efficient manner</w:t>
      </w:r>
      <w:r>
        <w:rPr>
          <w:color w:val="37424A"/>
        </w:rPr>
        <w:t>.</w:t>
      </w:r>
    </w:p>
    <w:p w:rsidR="00986881" w:rsidRDefault="00986881" w:rsidP="00504C92">
      <w:pPr>
        <w:spacing w:before="0" w:after="120"/>
        <w:rPr>
          <w:color w:val="37424A"/>
        </w:rPr>
      </w:pPr>
      <w:r w:rsidRPr="00FA3C4A">
        <w:rPr>
          <w:i/>
          <w:color w:val="37424A"/>
        </w:rPr>
        <w:t xml:space="preserve">Guidelines Principle </w:t>
      </w:r>
      <w:r>
        <w:rPr>
          <w:i/>
          <w:color w:val="37424A"/>
        </w:rPr>
        <w:t>5</w:t>
      </w:r>
      <w:r>
        <w:rPr>
          <w:color w:val="37424A"/>
        </w:rPr>
        <w:t xml:space="preserve">: </w:t>
      </w:r>
      <w:r w:rsidR="00B85B94">
        <w:rPr>
          <w:color w:val="37424A"/>
        </w:rPr>
        <w:t xml:space="preserve">If there are unacceptable </w:t>
      </w:r>
      <w:r>
        <w:rPr>
          <w:color w:val="37424A"/>
        </w:rPr>
        <w:t>safety, opera</w:t>
      </w:r>
      <w:r w:rsidR="00B87F1B">
        <w:rPr>
          <w:color w:val="37424A"/>
        </w:rPr>
        <w:t>tional or other adverse impacts</w:t>
      </w:r>
      <w:r w:rsidR="00B85B94">
        <w:rPr>
          <w:color w:val="37424A"/>
        </w:rPr>
        <w:t xml:space="preserve"> during a trial, or the trial is unsuccessful, trial sites </w:t>
      </w:r>
      <w:r w:rsidR="001643E7">
        <w:rPr>
          <w:color w:val="37424A"/>
        </w:rPr>
        <w:t>must</w:t>
      </w:r>
      <w:r w:rsidR="00B85B94">
        <w:rPr>
          <w:color w:val="37424A"/>
        </w:rPr>
        <w:t xml:space="preserve"> be reinstated to their original, </w:t>
      </w:r>
      <w:r w:rsidR="00B85B94" w:rsidRPr="00201849">
        <w:t>or acceptable</w:t>
      </w:r>
      <w:r w:rsidR="00B85B94">
        <w:rPr>
          <w:color w:val="37424A"/>
        </w:rPr>
        <w:t>, condition</w:t>
      </w:r>
      <w:r w:rsidR="007D446F">
        <w:rPr>
          <w:color w:val="37424A"/>
        </w:rPr>
        <w:t xml:space="preserve"> as soon as practicable</w:t>
      </w:r>
      <w:r w:rsidR="00B87F1B">
        <w:rPr>
          <w:color w:val="37424A"/>
        </w:rPr>
        <w:t>.</w:t>
      </w:r>
    </w:p>
    <w:p w:rsidR="00FA3C4A" w:rsidRDefault="00FA3C4A" w:rsidP="00504C92">
      <w:pPr>
        <w:spacing w:before="0" w:after="120"/>
        <w:rPr>
          <w:color w:val="37424A"/>
        </w:rPr>
      </w:pPr>
      <w:r w:rsidRPr="00FA3C4A">
        <w:rPr>
          <w:i/>
          <w:color w:val="37424A"/>
        </w:rPr>
        <w:t xml:space="preserve">Guideline Principle </w:t>
      </w:r>
      <w:r w:rsidR="00A36313">
        <w:rPr>
          <w:i/>
          <w:color w:val="37424A"/>
        </w:rPr>
        <w:t>6</w:t>
      </w:r>
      <w:r>
        <w:rPr>
          <w:color w:val="37424A"/>
        </w:rPr>
        <w:t xml:space="preserve">: </w:t>
      </w:r>
      <w:r w:rsidR="001643E7">
        <w:rPr>
          <w:color w:val="37424A"/>
        </w:rPr>
        <w:t>The outcome of the trial is to be communicated to all key stakeholders.</w:t>
      </w:r>
    </w:p>
    <w:p w:rsidR="001D69F9" w:rsidRDefault="001D69F9" w:rsidP="001D69F9">
      <w:pPr>
        <w:pStyle w:val="H3"/>
        <w:spacing w:before="0" w:after="180"/>
      </w:pPr>
      <w:r w:rsidRPr="00C4065D">
        <w:t>Responsibilities</w:t>
      </w:r>
    </w:p>
    <w:tbl>
      <w:tblPr>
        <w:tblW w:w="0" w:type="auto"/>
        <w:tblInd w:w="82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3249"/>
        <w:gridCol w:w="5495"/>
      </w:tblGrid>
      <w:tr w:rsidR="001D69F9" w:rsidRPr="00C4065D" w:rsidTr="001D69F9">
        <w:tc>
          <w:tcPr>
            <w:tcW w:w="3249" w:type="dxa"/>
            <w:tcBorders>
              <w:top w:val="nil"/>
              <w:left w:val="nil"/>
              <w:bottom w:val="nil"/>
              <w:right w:val="nil"/>
            </w:tcBorders>
            <w:shd w:val="clear" w:color="auto" w:fill="8CC63F"/>
          </w:tcPr>
          <w:p w:rsidR="001D69F9" w:rsidRPr="00F174ED" w:rsidRDefault="001D69F9" w:rsidP="001D69F9">
            <w:pPr>
              <w:pStyle w:val="Heading1"/>
              <w:rPr>
                <w:color w:val="FFFFFF" w:themeColor="background1"/>
              </w:rPr>
            </w:pPr>
            <w:r w:rsidRPr="00F174ED">
              <w:rPr>
                <w:color w:val="FFFFFF" w:themeColor="background1"/>
              </w:rPr>
              <w:t>Role</w:t>
            </w:r>
          </w:p>
        </w:tc>
        <w:tc>
          <w:tcPr>
            <w:tcW w:w="5495" w:type="dxa"/>
            <w:tcBorders>
              <w:top w:val="nil"/>
              <w:left w:val="nil"/>
              <w:bottom w:val="nil"/>
              <w:right w:val="nil"/>
            </w:tcBorders>
            <w:shd w:val="clear" w:color="auto" w:fill="8CC63F"/>
          </w:tcPr>
          <w:p w:rsidR="001D69F9" w:rsidRPr="00F174ED" w:rsidRDefault="001D69F9" w:rsidP="001D69F9">
            <w:pPr>
              <w:pStyle w:val="Heading1"/>
              <w:rPr>
                <w:color w:val="FFFFFF" w:themeColor="background1"/>
              </w:rPr>
            </w:pPr>
            <w:r w:rsidRPr="00F174ED">
              <w:rPr>
                <w:color w:val="FFFFFF" w:themeColor="background1"/>
              </w:rPr>
              <w:t>Responsibility</w:t>
            </w:r>
          </w:p>
        </w:tc>
      </w:tr>
      <w:tr w:rsidR="001D69F9" w:rsidRPr="00C4065D" w:rsidTr="001D69F9">
        <w:trPr>
          <w:trHeight w:val="523"/>
        </w:trPr>
        <w:tc>
          <w:tcPr>
            <w:tcW w:w="3249" w:type="dxa"/>
            <w:vMerge w:val="restart"/>
            <w:tcBorders>
              <w:top w:val="nil"/>
              <w:left w:val="nil"/>
              <w:right w:val="single" w:sz="8" w:space="0" w:color="92D050"/>
            </w:tcBorders>
            <w:shd w:val="clear" w:color="auto" w:fill="auto"/>
            <w:vAlign w:val="center"/>
          </w:tcPr>
          <w:p w:rsidR="001D69F9" w:rsidRPr="00C4065D" w:rsidRDefault="001D69F9" w:rsidP="001D69F9">
            <w:pPr>
              <w:ind w:left="23"/>
              <w:jc w:val="center"/>
              <w:rPr>
                <w:color w:val="37424A"/>
              </w:rPr>
            </w:pPr>
            <w:r>
              <w:rPr>
                <w:color w:val="37424A"/>
              </w:rPr>
              <w:t>Manager</w:t>
            </w:r>
            <w:r w:rsidRPr="00C4065D">
              <w:rPr>
                <w:color w:val="37424A"/>
              </w:rPr>
              <w:t xml:space="preserve"> Network </w:t>
            </w:r>
            <w:r>
              <w:rPr>
                <w:color w:val="37424A"/>
              </w:rPr>
              <w:t>Standards</w:t>
            </w:r>
          </w:p>
        </w:tc>
        <w:tc>
          <w:tcPr>
            <w:tcW w:w="5495" w:type="dxa"/>
            <w:tcBorders>
              <w:top w:val="nil"/>
              <w:left w:val="single" w:sz="8" w:space="0" w:color="92D050"/>
              <w:bottom w:val="single" w:sz="8" w:space="0" w:color="92D050"/>
              <w:right w:val="nil"/>
            </w:tcBorders>
            <w:shd w:val="clear" w:color="auto" w:fill="auto"/>
            <w:vAlign w:val="center"/>
          </w:tcPr>
          <w:p w:rsidR="001D69F9" w:rsidRPr="00C4065D" w:rsidRDefault="001D69F9" w:rsidP="001D69F9">
            <w:pPr>
              <w:ind w:left="23"/>
              <w:jc w:val="left"/>
              <w:rPr>
                <w:color w:val="37424A"/>
              </w:rPr>
            </w:pPr>
            <w:r>
              <w:rPr>
                <w:color w:val="37424A"/>
              </w:rPr>
              <w:t>Review, d</w:t>
            </w:r>
            <w:r w:rsidRPr="00C4065D">
              <w:rPr>
                <w:color w:val="37424A"/>
              </w:rPr>
              <w:t>isseminate</w:t>
            </w:r>
            <w:r>
              <w:rPr>
                <w:color w:val="37424A"/>
              </w:rPr>
              <w:t xml:space="preserve"> and monitor </w:t>
            </w:r>
            <w:r w:rsidRPr="00C4065D">
              <w:rPr>
                <w:color w:val="37424A"/>
              </w:rPr>
              <w:t xml:space="preserve">this </w:t>
            </w:r>
            <w:r>
              <w:rPr>
                <w:color w:val="37424A"/>
              </w:rPr>
              <w:t>Guideline</w:t>
            </w:r>
          </w:p>
        </w:tc>
      </w:tr>
      <w:tr w:rsidR="001D69F9" w:rsidRPr="00C4065D" w:rsidTr="001D69F9">
        <w:trPr>
          <w:trHeight w:val="523"/>
        </w:trPr>
        <w:tc>
          <w:tcPr>
            <w:tcW w:w="3249" w:type="dxa"/>
            <w:vMerge/>
            <w:tcBorders>
              <w:left w:val="nil"/>
              <w:bottom w:val="single" w:sz="8" w:space="0" w:color="92D050"/>
              <w:right w:val="single" w:sz="8" w:space="0" w:color="92D050"/>
            </w:tcBorders>
            <w:shd w:val="clear" w:color="auto" w:fill="auto"/>
            <w:vAlign w:val="center"/>
          </w:tcPr>
          <w:p w:rsidR="001D69F9" w:rsidRDefault="001D69F9" w:rsidP="001D69F9">
            <w:pPr>
              <w:ind w:left="23"/>
              <w:jc w:val="center"/>
              <w:rPr>
                <w:color w:val="37424A"/>
              </w:rPr>
            </w:pPr>
          </w:p>
        </w:tc>
        <w:tc>
          <w:tcPr>
            <w:tcW w:w="5495" w:type="dxa"/>
            <w:tcBorders>
              <w:top w:val="nil"/>
              <w:left w:val="single" w:sz="8" w:space="0" w:color="92D050"/>
              <w:bottom w:val="single" w:sz="8" w:space="0" w:color="92D050"/>
              <w:right w:val="nil"/>
            </w:tcBorders>
            <w:shd w:val="clear" w:color="auto" w:fill="auto"/>
            <w:vAlign w:val="center"/>
          </w:tcPr>
          <w:p w:rsidR="001D69F9" w:rsidRDefault="001D69F9" w:rsidP="001D69F9">
            <w:pPr>
              <w:ind w:left="23"/>
              <w:jc w:val="left"/>
              <w:rPr>
                <w:color w:val="37424A"/>
              </w:rPr>
            </w:pPr>
            <w:r>
              <w:rPr>
                <w:color w:val="37424A"/>
              </w:rPr>
              <w:t>Monitor the register of on-road trials of new and innovative treatments and ensure that it is easily accessible</w:t>
            </w:r>
          </w:p>
        </w:tc>
      </w:tr>
      <w:tr w:rsidR="001D69F9" w:rsidRPr="00C4065D" w:rsidTr="001D69F9">
        <w:tc>
          <w:tcPr>
            <w:tcW w:w="3249" w:type="dxa"/>
            <w:vMerge w:val="restart"/>
            <w:tcBorders>
              <w:top w:val="single" w:sz="8" w:space="0" w:color="92D050"/>
              <w:left w:val="nil"/>
              <w:right w:val="single" w:sz="8" w:space="0" w:color="92D050"/>
            </w:tcBorders>
            <w:shd w:val="clear" w:color="auto" w:fill="auto"/>
            <w:vAlign w:val="center"/>
          </w:tcPr>
          <w:p w:rsidR="001D69F9" w:rsidRPr="00C4065D" w:rsidRDefault="001D69F9" w:rsidP="001D69F9">
            <w:pPr>
              <w:ind w:left="23"/>
              <w:jc w:val="center"/>
              <w:rPr>
                <w:color w:val="37424A"/>
              </w:rPr>
            </w:pPr>
            <w:r>
              <w:rPr>
                <w:color w:val="37424A"/>
              </w:rPr>
              <w:t>Business Area Managers</w:t>
            </w:r>
          </w:p>
        </w:tc>
        <w:tc>
          <w:tcPr>
            <w:tcW w:w="5495" w:type="dxa"/>
            <w:tcBorders>
              <w:top w:val="single" w:sz="8" w:space="0" w:color="92D050"/>
              <w:left w:val="single" w:sz="8" w:space="0" w:color="92D050"/>
              <w:bottom w:val="single" w:sz="8" w:space="0" w:color="92D050"/>
              <w:right w:val="nil"/>
            </w:tcBorders>
            <w:shd w:val="clear" w:color="auto" w:fill="auto"/>
            <w:vAlign w:val="center"/>
          </w:tcPr>
          <w:p w:rsidR="001D69F9" w:rsidRPr="005C7E25" w:rsidRDefault="001D69F9" w:rsidP="00E67ED5">
            <w:pPr>
              <w:ind w:left="0"/>
              <w:rPr>
                <w:color w:val="37424A"/>
              </w:rPr>
            </w:pPr>
            <w:r w:rsidRPr="00C4065D">
              <w:rPr>
                <w:color w:val="37424A"/>
              </w:rPr>
              <w:t>Appl</w:t>
            </w:r>
            <w:r>
              <w:rPr>
                <w:color w:val="37424A"/>
              </w:rPr>
              <w:t>y the guideline when conducting on-road trials of new and innovative treatments</w:t>
            </w:r>
          </w:p>
        </w:tc>
      </w:tr>
      <w:tr w:rsidR="00FB115A" w:rsidRPr="00C4065D" w:rsidTr="001D69F9">
        <w:tc>
          <w:tcPr>
            <w:tcW w:w="3249" w:type="dxa"/>
            <w:vMerge/>
            <w:tcBorders>
              <w:top w:val="single" w:sz="8" w:space="0" w:color="92D050"/>
              <w:left w:val="nil"/>
              <w:right w:val="single" w:sz="8" w:space="0" w:color="92D050"/>
            </w:tcBorders>
            <w:shd w:val="clear" w:color="auto" w:fill="auto"/>
            <w:vAlign w:val="center"/>
          </w:tcPr>
          <w:p w:rsidR="00FB115A" w:rsidRDefault="00FB115A" w:rsidP="001D69F9">
            <w:pPr>
              <w:ind w:left="23"/>
              <w:jc w:val="center"/>
              <w:rPr>
                <w:color w:val="37424A"/>
              </w:rPr>
            </w:pPr>
          </w:p>
        </w:tc>
        <w:tc>
          <w:tcPr>
            <w:tcW w:w="5495" w:type="dxa"/>
            <w:tcBorders>
              <w:top w:val="single" w:sz="8" w:space="0" w:color="92D050"/>
              <w:left w:val="single" w:sz="8" w:space="0" w:color="92D050"/>
              <w:bottom w:val="single" w:sz="8" w:space="0" w:color="92D050"/>
              <w:right w:val="nil"/>
            </w:tcBorders>
            <w:shd w:val="clear" w:color="auto" w:fill="auto"/>
            <w:vAlign w:val="center"/>
          </w:tcPr>
          <w:p w:rsidR="00FB115A" w:rsidRPr="00C4065D" w:rsidRDefault="00FB115A" w:rsidP="001D69F9">
            <w:pPr>
              <w:ind w:left="0"/>
              <w:rPr>
                <w:color w:val="37424A"/>
              </w:rPr>
            </w:pPr>
            <w:r>
              <w:rPr>
                <w:color w:val="37424A"/>
              </w:rPr>
              <w:t>Approve trial plans</w:t>
            </w:r>
          </w:p>
        </w:tc>
      </w:tr>
      <w:tr w:rsidR="001D69F9" w:rsidRPr="00C4065D" w:rsidTr="001D69F9">
        <w:tc>
          <w:tcPr>
            <w:tcW w:w="3249" w:type="dxa"/>
            <w:vMerge/>
            <w:tcBorders>
              <w:left w:val="nil"/>
              <w:bottom w:val="single" w:sz="18" w:space="0" w:color="92D050"/>
              <w:right w:val="single" w:sz="8" w:space="0" w:color="92D050"/>
            </w:tcBorders>
            <w:shd w:val="clear" w:color="auto" w:fill="auto"/>
            <w:vAlign w:val="center"/>
          </w:tcPr>
          <w:p w:rsidR="001D69F9" w:rsidRDefault="001D69F9" w:rsidP="001D69F9">
            <w:pPr>
              <w:ind w:left="23"/>
              <w:jc w:val="center"/>
              <w:rPr>
                <w:color w:val="37424A"/>
              </w:rPr>
            </w:pPr>
          </w:p>
        </w:tc>
        <w:tc>
          <w:tcPr>
            <w:tcW w:w="5495" w:type="dxa"/>
            <w:tcBorders>
              <w:top w:val="single" w:sz="8" w:space="0" w:color="92D050"/>
              <w:left w:val="single" w:sz="8" w:space="0" w:color="92D050"/>
              <w:bottom w:val="single" w:sz="18" w:space="0" w:color="92D050"/>
              <w:right w:val="nil"/>
            </w:tcBorders>
            <w:shd w:val="clear" w:color="auto" w:fill="auto"/>
            <w:vAlign w:val="center"/>
          </w:tcPr>
          <w:p w:rsidR="001D69F9" w:rsidRPr="00C4065D" w:rsidRDefault="001D69F9" w:rsidP="001D69F9">
            <w:pPr>
              <w:ind w:left="0"/>
              <w:rPr>
                <w:color w:val="37424A"/>
              </w:rPr>
            </w:pPr>
            <w:r>
              <w:rPr>
                <w:color w:val="37424A"/>
              </w:rPr>
              <w:t>Update the register of on-road trials of new and innovative treatments for trials for which they are responsible</w:t>
            </w:r>
          </w:p>
        </w:tc>
      </w:tr>
    </w:tbl>
    <w:p w:rsidR="001D69F9" w:rsidRDefault="001D69F9" w:rsidP="00504C92">
      <w:pPr>
        <w:spacing w:before="0" w:after="120"/>
        <w:rPr>
          <w:color w:val="37424A"/>
        </w:rPr>
      </w:pPr>
    </w:p>
    <w:p w:rsidR="00E67ED5" w:rsidRDefault="00E67ED5" w:rsidP="00504C92">
      <w:pPr>
        <w:spacing w:before="0" w:after="120"/>
        <w:rPr>
          <w:color w:val="37424A"/>
        </w:rPr>
      </w:pPr>
    </w:p>
    <w:p w:rsidR="00C43DCE" w:rsidRDefault="00A5152E" w:rsidP="006868BC">
      <w:pPr>
        <w:pStyle w:val="H3"/>
      </w:pPr>
      <w:r>
        <w:lastRenderedPageBreak/>
        <w:t>Guidelines</w:t>
      </w:r>
    </w:p>
    <w:p w:rsidR="006B6069" w:rsidRDefault="006B6069" w:rsidP="00FB115A">
      <w:pPr>
        <w:spacing w:after="120"/>
      </w:pPr>
      <w:r>
        <w:t xml:space="preserve">The guidance outlined in this section </w:t>
      </w:r>
      <w:r w:rsidR="00630546">
        <w:t xml:space="preserve">is based on the guideline principles (Section </w:t>
      </w:r>
      <w:r w:rsidR="00053936">
        <w:t>4</w:t>
      </w:r>
      <w:r w:rsidR="00630546">
        <w:t xml:space="preserve">). It </w:t>
      </w:r>
      <w:r>
        <w:t xml:space="preserve">provides </w:t>
      </w:r>
      <w:r w:rsidR="00630546">
        <w:t xml:space="preserve">what is considered to be a best practice </w:t>
      </w:r>
      <w:r>
        <w:t xml:space="preserve">framework for conducting on-road trials of new and innovative treatments. </w:t>
      </w:r>
      <w:r w:rsidR="0084299B">
        <w:t>The practices and requirements</w:t>
      </w:r>
      <w:r>
        <w:t xml:space="preserve"> </w:t>
      </w:r>
      <w:r w:rsidR="0084299B">
        <w:t>should be applied wherever practicable.</w:t>
      </w:r>
      <w:r>
        <w:t xml:space="preserve"> </w:t>
      </w:r>
      <w:r w:rsidR="00FB115A">
        <w:t>Variations</w:t>
      </w:r>
      <w:r w:rsidR="00630546">
        <w:t xml:space="preserve"> from these guidelines can be made provided they are consistent with the guidelines principles.</w:t>
      </w:r>
      <w:r>
        <w:t xml:space="preserve">  </w:t>
      </w:r>
    </w:p>
    <w:p w:rsidR="006868BC" w:rsidRDefault="006868BC" w:rsidP="006868BC">
      <w:r>
        <w:t xml:space="preserve">Consideration of the use of a new or innovative </w:t>
      </w:r>
      <w:r w:rsidR="00C0039C">
        <w:t>treatment</w:t>
      </w:r>
      <w:r>
        <w:t xml:space="preserve"> will usually arise for one of following reasons:</w:t>
      </w:r>
    </w:p>
    <w:p w:rsidR="00FB115A" w:rsidRDefault="006868BC" w:rsidP="00A727C6">
      <w:pPr>
        <w:numPr>
          <w:ilvl w:val="0"/>
          <w:numId w:val="5"/>
        </w:numPr>
      </w:pPr>
      <w:r>
        <w:t xml:space="preserve">VicRoads has identified a problem which cannot be solved to the extent desired by the application of a </w:t>
      </w:r>
      <w:r w:rsidR="00C0039C">
        <w:t>treatment</w:t>
      </w:r>
      <w:r>
        <w:t xml:space="preserve"> (or combination of </w:t>
      </w:r>
      <w:r w:rsidR="00C0039C">
        <w:t>treatment</w:t>
      </w:r>
      <w:r>
        <w:t>s) which ha</w:t>
      </w:r>
      <w:r w:rsidR="00FB115A">
        <w:t>s</w:t>
      </w:r>
      <w:r>
        <w:t xml:space="preserve"> been </w:t>
      </w:r>
      <w:r w:rsidR="00FB115A">
        <w:t>adopted</w:t>
      </w:r>
      <w:r>
        <w:t xml:space="preserve"> </w:t>
      </w:r>
      <w:r w:rsidR="00FB115A">
        <w:t xml:space="preserve">previously </w:t>
      </w:r>
      <w:r>
        <w:t xml:space="preserve">or </w:t>
      </w:r>
      <w:r w:rsidR="00FB115A">
        <w:t>is</w:t>
      </w:r>
      <w:r>
        <w:t xml:space="preserve"> currently approved for</w:t>
      </w:r>
      <w:r w:rsidR="004926F3">
        <w:t xml:space="preserve"> use on Victoria’s road network.</w:t>
      </w:r>
    </w:p>
    <w:p w:rsidR="004926F3" w:rsidRDefault="004926F3" w:rsidP="00A727C6">
      <w:pPr>
        <w:numPr>
          <w:ilvl w:val="0"/>
          <w:numId w:val="5"/>
        </w:numPr>
      </w:pPr>
      <w:r>
        <w:t>A new opportunity had arisen (e.g. new technology which may reduce the whole-of-life cost of a traffic management function).</w:t>
      </w:r>
    </w:p>
    <w:p w:rsidR="006868BC" w:rsidRDefault="006868BC" w:rsidP="00A727C6">
      <w:pPr>
        <w:numPr>
          <w:ilvl w:val="0"/>
          <w:numId w:val="5"/>
        </w:numPr>
      </w:pPr>
      <w:r>
        <w:t xml:space="preserve">An unsolicited proposal has been received from industry relating to a </w:t>
      </w:r>
      <w:r w:rsidR="00C0039C">
        <w:t>treatment</w:t>
      </w:r>
      <w:r>
        <w:t xml:space="preserve"> that hasn’t </w:t>
      </w:r>
      <w:r w:rsidR="00D3421F">
        <w:t xml:space="preserve">previously </w:t>
      </w:r>
      <w:r>
        <w:t>been accepted or approved for use on Victoria’s road network.</w:t>
      </w:r>
    </w:p>
    <w:p w:rsidR="00323084" w:rsidRDefault="00E93AE3" w:rsidP="00323084">
      <w:pPr>
        <w:spacing w:after="120"/>
      </w:pPr>
      <w:r>
        <w:t xml:space="preserve">Regardless of the origin of the treatment, VicRoads will only adopt a new or innovative treatment if it </w:t>
      </w:r>
      <w:r w:rsidR="001F1931">
        <w:t xml:space="preserve">has the potential to </w:t>
      </w:r>
      <w:r>
        <w:t xml:space="preserve">provide tangible benefits. </w:t>
      </w:r>
      <w:r w:rsidR="004926F3">
        <w:t>A</w:t>
      </w:r>
      <w:r w:rsidR="006868BC">
        <w:t xml:space="preserve">n on-road or in-service trial will often be necessary to assess whether </w:t>
      </w:r>
      <w:r>
        <w:t>a</w:t>
      </w:r>
      <w:r w:rsidR="006868BC">
        <w:t xml:space="preserve"> </w:t>
      </w:r>
      <w:r w:rsidR="00C0039C">
        <w:t>treatment</w:t>
      </w:r>
      <w:r w:rsidR="006868BC">
        <w:t xml:space="preserve"> delivers satisfactory outcomes and does not have adverse impacts that are unacceptable or cannot be mitigated.</w:t>
      </w:r>
    </w:p>
    <w:p w:rsidR="00227FB1" w:rsidRDefault="00227FB1" w:rsidP="006868BC">
      <w:pPr>
        <w:spacing w:after="120"/>
      </w:pPr>
      <w:r>
        <w:t xml:space="preserve">The process diagram in Attachment </w:t>
      </w:r>
      <w:r w:rsidR="00630546">
        <w:t>A</w:t>
      </w:r>
      <w:r>
        <w:t xml:space="preserve"> illustrates the generic steps for a new or innovative treatment from inception to approval for general use on the road network.</w:t>
      </w:r>
    </w:p>
    <w:p w:rsidR="00323084" w:rsidRDefault="00171BE2" w:rsidP="006868BC">
      <w:pPr>
        <w:spacing w:after="120"/>
      </w:pPr>
      <w:r>
        <w:t>VicRoads has adopted</w:t>
      </w:r>
      <w:r w:rsidR="00301B0A">
        <w:t xml:space="preserve"> an Investment Evaluation Framework (IEF)</w:t>
      </w:r>
      <w:r w:rsidR="00301B0A">
        <w:rPr>
          <w:rStyle w:val="FootnoteReference"/>
        </w:rPr>
        <w:footnoteReference w:id="1"/>
      </w:r>
      <w:r>
        <w:t xml:space="preserve"> </w:t>
      </w:r>
      <w:r w:rsidR="00DE3A17">
        <w:t>which</w:t>
      </w:r>
      <w:r w:rsidR="00301B0A">
        <w:t xml:space="preserve"> strengthen</w:t>
      </w:r>
      <w:r w:rsidR="00DE3A17">
        <w:t>s</w:t>
      </w:r>
      <w:r w:rsidR="00301B0A">
        <w:t xml:space="preserve"> its </w:t>
      </w:r>
      <w:r w:rsidR="00DE3A17">
        <w:t>capacity</w:t>
      </w:r>
      <w:r w:rsidR="00301B0A">
        <w:t xml:space="preserve"> to </w:t>
      </w:r>
      <w:r w:rsidR="00DE3A17">
        <w:t xml:space="preserve">effectively </w:t>
      </w:r>
      <w:r w:rsidR="00301B0A">
        <w:t>measure</w:t>
      </w:r>
      <w:r w:rsidR="00DE3A17">
        <w:t xml:space="preserve"> the achievements of benefits, capture </w:t>
      </w:r>
      <w:proofErr w:type="spellStart"/>
      <w:r w:rsidR="00DE3A17">
        <w:t>learnings</w:t>
      </w:r>
      <w:proofErr w:type="spellEnd"/>
      <w:r w:rsidR="00DE3A17">
        <w:t xml:space="preserve"> and use these to inform decision making.</w:t>
      </w:r>
      <w:r w:rsidR="00301B0A">
        <w:t xml:space="preserve"> The IEF details the approach to post completion evaluation </w:t>
      </w:r>
      <w:r w:rsidR="00DE3A17">
        <w:t>to be used across VicRoads and</w:t>
      </w:r>
      <w:r w:rsidR="00301B0A">
        <w:t xml:space="preserve"> supports the </w:t>
      </w:r>
      <w:r w:rsidR="00DE3A17">
        <w:t>learn stage of the</w:t>
      </w:r>
      <w:r w:rsidR="001A5FC8">
        <w:t xml:space="preserve"> plan / deliver / learn</w:t>
      </w:r>
      <w:r w:rsidR="00DE3A17">
        <w:t xml:space="preserve"> investment cycle</w:t>
      </w:r>
      <w:r w:rsidR="001A5FC8">
        <w:t>.</w:t>
      </w:r>
    </w:p>
    <w:p w:rsidR="006D1D39" w:rsidRPr="006D1D39" w:rsidRDefault="00954ED9" w:rsidP="00B42CEA">
      <w:pPr>
        <w:spacing w:after="120"/>
      </w:pPr>
      <w:r>
        <w:t>N</w:t>
      </w:r>
      <w:r w:rsidR="00B42CEA">
        <w:t xml:space="preserve">ot all on-road trials would be subject </w:t>
      </w:r>
      <w:r w:rsidR="0018073E">
        <w:t xml:space="preserve">to </w:t>
      </w:r>
      <w:r w:rsidR="00B42CEA">
        <w:t>the detailed evaluation process</w:t>
      </w:r>
      <w:r w:rsidR="008053EF">
        <w:t>es of</w:t>
      </w:r>
      <w:r w:rsidR="00B42CEA">
        <w:t xml:space="preserve"> the IEF</w:t>
      </w:r>
      <w:r>
        <w:t xml:space="preserve">. The scale and complexity of evaluations should be commensurate with the treatment that is being evaluated, the objectives of the trial and </w:t>
      </w:r>
      <w:r w:rsidR="00600087">
        <w:t xml:space="preserve">the subsequent </w:t>
      </w:r>
      <w:r>
        <w:t xml:space="preserve">decisions / actions </w:t>
      </w:r>
      <w:r w:rsidR="00600087">
        <w:t>that are expected, based on the trial outcomes</w:t>
      </w:r>
      <w:r>
        <w:t>. The IEF and VicRoads’ Benefit Ma</w:t>
      </w:r>
      <w:r w:rsidR="00600087">
        <w:t xml:space="preserve">nagement Framework (BMF) </w:t>
      </w:r>
      <w:r w:rsidR="008053EF">
        <w:t xml:space="preserve">provide valuable </w:t>
      </w:r>
      <w:r w:rsidR="001A5FC8">
        <w:t xml:space="preserve">information </w:t>
      </w:r>
      <w:r w:rsidR="00E91FF0">
        <w:t xml:space="preserve">and </w:t>
      </w:r>
      <w:r w:rsidR="008053EF">
        <w:t xml:space="preserve">guidance for </w:t>
      </w:r>
      <w:r w:rsidR="00E93AE3">
        <w:t>defining problems</w:t>
      </w:r>
      <w:r w:rsidR="000B0709">
        <w:t>, determining appropriate performance indicators and measures,</w:t>
      </w:r>
      <w:r w:rsidR="00E93AE3">
        <w:t xml:space="preserve"> and </w:t>
      </w:r>
      <w:r w:rsidR="008053EF">
        <w:t>undertaking evaluations</w:t>
      </w:r>
      <w:r w:rsidR="00E91FF0">
        <w:t xml:space="preserve">. </w:t>
      </w:r>
    </w:p>
    <w:p w:rsidR="00A5152E" w:rsidRPr="00A5152E" w:rsidRDefault="00A5152E" w:rsidP="00A5152E">
      <w:pPr>
        <w:pStyle w:val="H2"/>
        <w:rPr>
          <w:i w:val="0"/>
          <w:sz w:val="20"/>
          <w:szCs w:val="20"/>
        </w:rPr>
      </w:pPr>
      <w:r w:rsidRPr="00A5152E">
        <w:rPr>
          <w:i w:val="0"/>
          <w:sz w:val="20"/>
          <w:szCs w:val="20"/>
        </w:rPr>
        <w:t>Accept</w:t>
      </w:r>
      <w:r w:rsidR="0084299B">
        <w:rPr>
          <w:i w:val="0"/>
          <w:sz w:val="20"/>
          <w:szCs w:val="20"/>
        </w:rPr>
        <w:t xml:space="preserve">ing a Treatment </w:t>
      </w:r>
      <w:r w:rsidRPr="00A5152E">
        <w:rPr>
          <w:i w:val="0"/>
          <w:sz w:val="20"/>
          <w:szCs w:val="20"/>
        </w:rPr>
        <w:t>for Trial</w:t>
      </w:r>
    </w:p>
    <w:p w:rsidR="00463762" w:rsidRDefault="006868BC" w:rsidP="00463762">
      <w:pPr>
        <w:spacing w:after="120"/>
      </w:pPr>
      <w:r>
        <w:t xml:space="preserve">Prior to the commencement of a trial on the road network it will be necessary to undertake an assessment of </w:t>
      </w:r>
      <w:r w:rsidR="00463762">
        <w:t>a new or innovative</w:t>
      </w:r>
      <w:r>
        <w:t xml:space="preserve"> </w:t>
      </w:r>
      <w:r w:rsidR="00C0039C">
        <w:t>treatment</w:t>
      </w:r>
      <w:r>
        <w:t xml:space="preserve"> to determine if it is appropriate to proceed. </w:t>
      </w:r>
      <w:r w:rsidR="00AE07A4">
        <w:t xml:space="preserve">The </w:t>
      </w:r>
      <w:r w:rsidR="002F72DD">
        <w:t>process</w:t>
      </w:r>
      <w:r w:rsidR="00AE07A4">
        <w:t xml:space="preserve"> is dependent upon the </w:t>
      </w:r>
      <w:r w:rsidR="00463762">
        <w:t xml:space="preserve">particular type of </w:t>
      </w:r>
      <w:r w:rsidR="00C0039C">
        <w:t>treatment</w:t>
      </w:r>
      <w:r w:rsidR="00AE07A4">
        <w:t xml:space="preserve">. </w:t>
      </w:r>
      <w:r w:rsidR="00463762">
        <w:t xml:space="preserve">This Guideline provides information on the </w:t>
      </w:r>
      <w:r w:rsidR="00D3577A">
        <w:t>typical</w:t>
      </w:r>
      <w:r w:rsidR="00463762">
        <w:t xml:space="preserve"> step</w:t>
      </w:r>
      <w:r w:rsidR="00991715">
        <w:t xml:space="preserve">s that precede an on-road trial. It does not provide detailed guidance on VicRoads’ requirements and responsibilities during this phase. </w:t>
      </w:r>
    </w:p>
    <w:p w:rsidR="00600087" w:rsidRDefault="00600087" w:rsidP="00D3577A">
      <w:pPr>
        <w:spacing w:after="120"/>
      </w:pPr>
    </w:p>
    <w:p w:rsidR="00AE07A4" w:rsidRDefault="00AE07A4" w:rsidP="00D3577A">
      <w:pPr>
        <w:spacing w:after="120"/>
      </w:pPr>
      <w:r>
        <w:t>VicRoads’ proc</w:t>
      </w:r>
      <w:r w:rsidR="002F72DD">
        <w:t>edures</w:t>
      </w:r>
      <w:r>
        <w:t xml:space="preserve"> for consideration of some classes of </w:t>
      </w:r>
      <w:r w:rsidR="00C0039C">
        <w:t>treatment</w:t>
      </w:r>
      <w:r>
        <w:t>s are well defined and understood, but for others the</w:t>
      </w:r>
      <w:r w:rsidR="002F72DD">
        <w:t xml:space="preserve"> process is</w:t>
      </w:r>
      <w:r>
        <w:t xml:space="preserve"> ad</w:t>
      </w:r>
      <w:r w:rsidR="002A0A84">
        <w:t xml:space="preserve"> </w:t>
      </w:r>
      <w:r>
        <w:t xml:space="preserve">hoc. </w:t>
      </w:r>
      <w:r w:rsidR="00463762">
        <w:t>F</w:t>
      </w:r>
      <w:r w:rsidR="00D461B4">
        <w:t>or infrastructure treatments</w:t>
      </w:r>
      <w:r w:rsidR="00463762">
        <w:t xml:space="preserve"> the process</w:t>
      </w:r>
      <w:r w:rsidR="00D461B4">
        <w:t xml:space="preserve"> is well established</w:t>
      </w:r>
      <w:r w:rsidR="00227FB1">
        <w:t>,</w:t>
      </w:r>
      <w:r w:rsidR="00D461B4">
        <w:t xml:space="preserve"> with project approval though </w:t>
      </w:r>
      <w:r w:rsidR="00227FB1">
        <w:t>the</w:t>
      </w:r>
      <w:r w:rsidR="00D461B4">
        <w:t xml:space="preserve"> Project Review Committee (PRC)</w:t>
      </w:r>
      <w:r w:rsidR="00227FB1">
        <w:t xml:space="preserve"> </w:t>
      </w:r>
      <w:r w:rsidR="00630546">
        <w:t xml:space="preserve">or Regional Review Committee </w:t>
      </w:r>
      <w:r w:rsidR="00D938DF">
        <w:t xml:space="preserve">(RRC) </w:t>
      </w:r>
      <w:r w:rsidR="00630546">
        <w:t>at the</w:t>
      </w:r>
      <w:r w:rsidR="00227FB1">
        <w:t xml:space="preserve"> corporate or regional level</w:t>
      </w:r>
      <w:r w:rsidR="00630546">
        <w:t xml:space="preserve"> respectively</w:t>
      </w:r>
      <w:r w:rsidR="00D938DF">
        <w:t>,</w:t>
      </w:r>
      <w:r w:rsidR="00630546">
        <w:t xml:space="preserve"> as appropriate</w:t>
      </w:r>
      <w:r w:rsidR="00D461B4">
        <w:t xml:space="preserve">. </w:t>
      </w:r>
      <w:r>
        <w:t xml:space="preserve">Attachments </w:t>
      </w:r>
      <w:r w:rsidR="00D938DF">
        <w:t>B</w:t>
      </w:r>
      <w:r>
        <w:t xml:space="preserve">, </w:t>
      </w:r>
      <w:r w:rsidR="00D938DF">
        <w:t>C</w:t>
      </w:r>
      <w:r>
        <w:t xml:space="preserve"> and </w:t>
      </w:r>
      <w:r w:rsidR="00D938DF">
        <w:t>D</w:t>
      </w:r>
      <w:r>
        <w:t xml:space="preserve"> summar</w:t>
      </w:r>
      <w:r w:rsidR="002A0A84">
        <w:t>ise</w:t>
      </w:r>
      <w:r>
        <w:t xml:space="preserve"> the existing and emerging processes </w:t>
      </w:r>
      <w:r w:rsidR="00D461B4">
        <w:t>for</w:t>
      </w:r>
      <w:r>
        <w:t xml:space="preserve"> ITS, safety barrier and road pavement / construction products respectively.</w:t>
      </w:r>
    </w:p>
    <w:p w:rsidR="006868BC" w:rsidRDefault="00AA5BAF" w:rsidP="006868BC">
      <w:pPr>
        <w:spacing w:after="120"/>
      </w:pPr>
      <w:r>
        <w:t>The assessment process prior to the commencement of an on-road</w:t>
      </w:r>
      <w:r w:rsidR="006868BC">
        <w:t xml:space="preserve"> </w:t>
      </w:r>
      <w:r w:rsidR="00D3577A">
        <w:t xml:space="preserve">trial </w:t>
      </w:r>
      <w:r w:rsidR="00D3421F">
        <w:t>typical</w:t>
      </w:r>
      <w:r>
        <w:t>ly includes the following</w:t>
      </w:r>
      <w:r w:rsidR="006868BC">
        <w:t xml:space="preserve"> step</w:t>
      </w:r>
      <w:r w:rsidR="00D3421F">
        <w:t>s</w:t>
      </w:r>
      <w:r w:rsidR="006868BC">
        <w:t>:</w:t>
      </w:r>
    </w:p>
    <w:p w:rsidR="00D3577A" w:rsidRDefault="006868BC" w:rsidP="00A727C6">
      <w:pPr>
        <w:numPr>
          <w:ilvl w:val="0"/>
          <w:numId w:val="6"/>
        </w:numPr>
      </w:pPr>
      <w:r w:rsidRPr="00D3577A">
        <w:rPr>
          <w:b/>
        </w:rPr>
        <w:t xml:space="preserve">Identification of </w:t>
      </w:r>
      <w:r w:rsidR="00600087">
        <w:rPr>
          <w:b/>
        </w:rPr>
        <w:t>the problem or opportunity</w:t>
      </w:r>
      <w:r w:rsidRPr="00D3577A">
        <w:rPr>
          <w:b/>
        </w:rPr>
        <w:t>:</w:t>
      </w:r>
      <w:r>
        <w:t xml:space="preserve"> What </w:t>
      </w:r>
      <w:r w:rsidR="0084177D">
        <w:t xml:space="preserve">is the </w:t>
      </w:r>
      <w:r>
        <w:t>problem</w:t>
      </w:r>
      <w:r w:rsidR="0084177D">
        <w:t xml:space="preserve"> </w:t>
      </w:r>
      <w:r w:rsidR="005E763E">
        <w:t xml:space="preserve">to be solved </w:t>
      </w:r>
      <w:r w:rsidR="0084177D">
        <w:t xml:space="preserve">or </w:t>
      </w:r>
      <w:r w:rsidR="0018073E">
        <w:t xml:space="preserve">the </w:t>
      </w:r>
      <w:r w:rsidR="0084177D">
        <w:t>opportunity that</w:t>
      </w:r>
      <w:r>
        <w:t xml:space="preserve"> justifies consideration of the </w:t>
      </w:r>
      <w:r w:rsidR="00C0039C">
        <w:t>treatment</w:t>
      </w:r>
      <w:r>
        <w:t xml:space="preserve">? </w:t>
      </w:r>
    </w:p>
    <w:p w:rsidR="006868BC" w:rsidRDefault="006868BC" w:rsidP="00A727C6">
      <w:pPr>
        <w:numPr>
          <w:ilvl w:val="0"/>
          <w:numId w:val="6"/>
        </w:numPr>
      </w:pPr>
      <w:r w:rsidRPr="00D3577A">
        <w:rPr>
          <w:b/>
        </w:rPr>
        <w:t>Identification of options:</w:t>
      </w:r>
      <w:r>
        <w:t xml:space="preserve"> </w:t>
      </w:r>
      <w:r w:rsidR="000E3414">
        <w:t xml:space="preserve">Optional treatments should be considered prior to progressing to an on-road trail. What </w:t>
      </w:r>
      <w:r>
        <w:t xml:space="preserve">options </w:t>
      </w:r>
      <w:r w:rsidR="000E3414">
        <w:t xml:space="preserve">exist to </w:t>
      </w:r>
      <w:r w:rsidR="00D3421F">
        <w:t xml:space="preserve">address the </w:t>
      </w:r>
      <w:r w:rsidR="000E3414">
        <w:t>problem? If a specific treatment, which presents an opportunity</w:t>
      </w:r>
      <w:r w:rsidR="0018073E">
        <w:t>,</w:t>
      </w:r>
      <w:r w:rsidR="00D3421F">
        <w:t xml:space="preserve"> </w:t>
      </w:r>
      <w:r w:rsidR="000E3414">
        <w:t xml:space="preserve">has been proposed, </w:t>
      </w:r>
      <w:r w:rsidR="00530150">
        <w:t>are there alternative treatments that may produce a similar outcome?</w:t>
      </w:r>
      <w:r>
        <w:t xml:space="preserve"> </w:t>
      </w:r>
    </w:p>
    <w:p w:rsidR="006868BC" w:rsidRDefault="006868BC" w:rsidP="00A727C6">
      <w:pPr>
        <w:numPr>
          <w:ilvl w:val="0"/>
          <w:numId w:val="6"/>
        </w:numPr>
      </w:pPr>
      <w:r w:rsidRPr="006E7036">
        <w:rPr>
          <w:b/>
        </w:rPr>
        <w:t>Analysis of options:</w:t>
      </w:r>
      <w:r>
        <w:t xml:space="preserve"> </w:t>
      </w:r>
      <w:r w:rsidR="00AA5BAF">
        <w:t>A</w:t>
      </w:r>
      <w:r w:rsidR="00AB0C7F">
        <w:t>nalys</w:t>
      </w:r>
      <w:r w:rsidR="00B87F1B">
        <w:t>i</w:t>
      </w:r>
      <w:r w:rsidR="00AB0C7F">
        <w:t xml:space="preserve">s </w:t>
      </w:r>
      <w:r w:rsidR="00BC1661">
        <w:t xml:space="preserve">should </w:t>
      </w:r>
      <w:r w:rsidR="00AB0C7F">
        <w:t xml:space="preserve">be based on </w:t>
      </w:r>
      <w:r w:rsidR="00530150">
        <w:t xml:space="preserve">whole-of-life costs, benefits (using relevant performance indicators), </w:t>
      </w:r>
      <w:proofErr w:type="gramStart"/>
      <w:r w:rsidR="00530150">
        <w:t>disbenefits</w:t>
      </w:r>
      <w:proofErr w:type="gramEnd"/>
      <w:r w:rsidR="008647DD">
        <w:t xml:space="preserve"> </w:t>
      </w:r>
      <w:r w:rsidR="00530150">
        <w:t xml:space="preserve">and associated risks </w:t>
      </w:r>
      <w:r w:rsidR="00D3577A">
        <w:t>of the treatment options</w:t>
      </w:r>
      <w:r>
        <w:t xml:space="preserve">. </w:t>
      </w:r>
      <w:r w:rsidR="00AB0C7F">
        <w:t>The results will determine if one or more options are likely to be acceptable.</w:t>
      </w:r>
      <w:r w:rsidR="00530150" w:rsidRPr="00530150">
        <w:t xml:space="preserve"> </w:t>
      </w:r>
      <w:r w:rsidR="00530150">
        <w:t xml:space="preserve">The urgency to address the defined problem may also be a consideration when deciding whether an on-road trial should </w:t>
      </w:r>
      <w:r w:rsidR="000B0709">
        <w:t>proceed</w:t>
      </w:r>
      <w:r w:rsidR="00530150">
        <w:t>.</w:t>
      </w:r>
    </w:p>
    <w:p w:rsidR="006868BC" w:rsidRPr="006E7036" w:rsidRDefault="006868BC" w:rsidP="00A727C6">
      <w:pPr>
        <w:numPr>
          <w:ilvl w:val="0"/>
          <w:numId w:val="6"/>
        </w:numPr>
        <w:rPr>
          <w:b/>
        </w:rPr>
      </w:pPr>
      <w:r w:rsidRPr="006E7036">
        <w:rPr>
          <w:b/>
        </w:rPr>
        <w:t xml:space="preserve">Preferred option(s): </w:t>
      </w:r>
      <w:r w:rsidR="00AE07A4" w:rsidRPr="00AE07A4">
        <w:t>The analysis</w:t>
      </w:r>
      <w:r w:rsidR="00AB0C7F">
        <w:t xml:space="preserve"> </w:t>
      </w:r>
      <w:r w:rsidR="00AE07A4" w:rsidRPr="00AE07A4">
        <w:t>will identify which option or options have the greatest potential</w:t>
      </w:r>
      <w:r w:rsidR="00AE07A4">
        <w:t xml:space="preserve"> to</w:t>
      </w:r>
      <w:r w:rsidR="00AE07A4" w:rsidRPr="00AE07A4">
        <w:t xml:space="preserve"> </w:t>
      </w:r>
      <w:r w:rsidR="005E763E">
        <w:t>effectively produce benefits</w:t>
      </w:r>
      <w:r w:rsidR="00AE07A4">
        <w:t xml:space="preserve"> </w:t>
      </w:r>
      <w:r w:rsidR="00110297">
        <w:t xml:space="preserve">and best fit the </w:t>
      </w:r>
      <w:r w:rsidR="00C0039C">
        <w:t>treatment</w:t>
      </w:r>
      <w:r w:rsidR="00110297">
        <w:t xml:space="preserve"> acceptance / type approval criteria.</w:t>
      </w:r>
      <w:r w:rsidR="00AE07A4" w:rsidRPr="00AE07A4">
        <w:rPr>
          <w:b/>
        </w:rPr>
        <w:t xml:space="preserve"> </w:t>
      </w:r>
    </w:p>
    <w:p w:rsidR="00812803" w:rsidRDefault="006868BC" w:rsidP="00A727C6">
      <w:pPr>
        <w:numPr>
          <w:ilvl w:val="0"/>
          <w:numId w:val="6"/>
        </w:numPr>
        <w:spacing w:after="120"/>
        <w:ind w:hanging="357"/>
      </w:pPr>
      <w:r w:rsidRPr="006E7036">
        <w:rPr>
          <w:b/>
        </w:rPr>
        <w:t>Acceptance for trial:</w:t>
      </w:r>
      <w:r w:rsidR="006E7036" w:rsidRPr="006E7036">
        <w:rPr>
          <w:b/>
        </w:rPr>
        <w:t xml:space="preserve"> </w:t>
      </w:r>
      <w:r w:rsidR="006733D9" w:rsidRPr="006733D9">
        <w:t xml:space="preserve">Acceptance of a treatment </w:t>
      </w:r>
      <w:r w:rsidR="006733D9">
        <w:t xml:space="preserve">option(s) to proceed to the </w:t>
      </w:r>
      <w:r w:rsidR="00AE07A4">
        <w:t>on-road trial</w:t>
      </w:r>
      <w:r w:rsidR="00110297">
        <w:t xml:space="preserve"> </w:t>
      </w:r>
      <w:r w:rsidR="006733D9">
        <w:t xml:space="preserve">phase </w:t>
      </w:r>
      <w:r w:rsidR="00110297">
        <w:t>(where required)</w:t>
      </w:r>
      <w:r w:rsidR="00AE07A4">
        <w:t xml:space="preserve"> </w:t>
      </w:r>
      <w:r w:rsidR="00BC1661">
        <w:t>should</w:t>
      </w:r>
      <w:r w:rsidR="006733D9">
        <w:t xml:space="preserve"> be in accordance with the process established for the particular</w:t>
      </w:r>
      <w:r w:rsidR="00AE07A4">
        <w:t xml:space="preserve"> type of </w:t>
      </w:r>
      <w:r w:rsidR="00C0039C">
        <w:t>treatment</w:t>
      </w:r>
      <w:r w:rsidR="00AE07A4">
        <w:t xml:space="preserve">. </w:t>
      </w:r>
      <w:r w:rsidR="003F4FE2">
        <w:t>Formal approval may be required</w:t>
      </w:r>
      <w:r w:rsidR="00991715">
        <w:t xml:space="preserve"> </w:t>
      </w:r>
      <w:r w:rsidR="00256B12">
        <w:t>at this point</w:t>
      </w:r>
      <w:r w:rsidR="003F4FE2">
        <w:t>. W</w:t>
      </w:r>
      <w:r w:rsidR="00A36EFA">
        <w:t xml:space="preserve">hether </w:t>
      </w:r>
      <w:r w:rsidR="003F4FE2">
        <w:t>a</w:t>
      </w:r>
      <w:r w:rsidR="00A36EFA">
        <w:t xml:space="preserve"> trial is to be fully or partially funded by an external agency</w:t>
      </w:r>
      <w:r w:rsidR="003F4FE2">
        <w:t xml:space="preserve"> should be considered.</w:t>
      </w:r>
    </w:p>
    <w:p w:rsidR="00E62BC0" w:rsidRPr="00307035" w:rsidRDefault="00307035" w:rsidP="00307035">
      <w:pPr>
        <w:rPr>
          <w:u w:val="single"/>
        </w:rPr>
      </w:pPr>
      <w:r w:rsidRPr="00307035">
        <w:rPr>
          <w:u w:val="single"/>
        </w:rPr>
        <w:t>Related Guidelines Principles</w:t>
      </w:r>
    </w:p>
    <w:p w:rsidR="00307035" w:rsidRDefault="00307035" w:rsidP="00307035">
      <w:pPr>
        <w:numPr>
          <w:ilvl w:val="0"/>
          <w:numId w:val="11"/>
        </w:numPr>
      </w:pPr>
      <w:r>
        <w:rPr>
          <w:color w:val="37424A"/>
        </w:rPr>
        <w:t xml:space="preserve">Ensure that any proposed </w:t>
      </w:r>
      <w:r>
        <w:rPr>
          <w:rFonts w:cs="Calibri"/>
          <w:color w:val="37424A"/>
          <w:szCs w:val="20"/>
        </w:rPr>
        <w:t xml:space="preserve">new or innovative treatment </w:t>
      </w:r>
      <w:r w:rsidRPr="00201849">
        <w:rPr>
          <w:rFonts w:cs="Calibri"/>
          <w:szCs w:val="20"/>
        </w:rPr>
        <w:t>is a viable option that addresses an identified problem or offers a new opportunity</w:t>
      </w:r>
      <w:r w:rsidR="00755449">
        <w:rPr>
          <w:rFonts w:cs="Calibri"/>
          <w:szCs w:val="20"/>
        </w:rPr>
        <w:t>.</w:t>
      </w:r>
    </w:p>
    <w:p w:rsidR="002A7E39" w:rsidRPr="007F26BC" w:rsidRDefault="00080090" w:rsidP="007F26BC">
      <w:pPr>
        <w:pStyle w:val="H2"/>
        <w:spacing w:after="120"/>
        <w:rPr>
          <w:i w:val="0"/>
          <w:sz w:val="20"/>
          <w:szCs w:val="20"/>
        </w:rPr>
      </w:pPr>
      <w:r>
        <w:rPr>
          <w:i w:val="0"/>
          <w:sz w:val="20"/>
          <w:szCs w:val="20"/>
        </w:rPr>
        <w:t>Planning the</w:t>
      </w:r>
      <w:r w:rsidR="00BC1661">
        <w:rPr>
          <w:i w:val="0"/>
          <w:sz w:val="20"/>
          <w:szCs w:val="20"/>
        </w:rPr>
        <w:t xml:space="preserve"> On-road </w:t>
      </w:r>
      <w:r>
        <w:rPr>
          <w:i w:val="0"/>
          <w:sz w:val="20"/>
          <w:szCs w:val="20"/>
        </w:rPr>
        <w:t>Trial</w:t>
      </w:r>
    </w:p>
    <w:p w:rsidR="002A7E39" w:rsidRDefault="002A7E39" w:rsidP="002A7E39">
      <w:pPr>
        <w:spacing w:before="0" w:after="120"/>
      </w:pPr>
      <w:r>
        <w:t xml:space="preserve">The objective of an on-road trial is to </w:t>
      </w:r>
      <w:r w:rsidR="00DB29F7">
        <w:t>assess</w:t>
      </w:r>
      <w:r>
        <w:t xml:space="preserve"> how </w:t>
      </w:r>
      <w:r w:rsidR="00751B9A">
        <w:t>a</w:t>
      </w:r>
      <w:r>
        <w:t xml:space="preserve"> </w:t>
      </w:r>
      <w:r w:rsidR="00C0039C">
        <w:t>treatment</w:t>
      </w:r>
      <w:r>
        <w:t xml:space="preserve"> performs in</w:t>
      </w:r>
      <w:r w:rsidR="00CE6242">
        <w:t xml:space="preserve"> a real life setting.</w:t>
      </w:r>
      <w:r>
        <w:t xml:space="preserve"> </w:t>
      </w:r>
      <w:r w:rsidR="00003E67">
        <w:t xml:space="preserve">Planning </w:t>
      </w:r>
      <w:r w:rsidR="00080090">
        <w:t>for the tr</w:t>
      </w:r>
      <w:r w:rsidR="00D60563">
        <w:t>ia</w:t>
      </w:r>
      <w:r w:rsidR="00080090">
        <w:t xml:space="preserve">l and how it is to be evaluated </w:t>
      </w:r>
      <w:r w:rsidR="00003E67">
        <w:t xml:space="preserve">is a critical activity. </w:t>
      </w:r>
      <w:r w:rsidR="00BC1661">
        <w:t>The establishment of c</w:t>
      </w:r>
      <w:r w:rsidR="00CE6242">
        <w:t>lear</w:t>
      </w:r>
      <w:r w:rsidR="00BC1661">
        <w:t xml:space="preserve"> and relevant</w:t>
      </w:r>
      <w:r w:rsidR="00CE6242">
        <w:t xml:space="preserve"> </w:t>
      </w:r>
      <w:r w:rsidR="001E471C">
        <w:t xml:space="preserve">performance indicators and </w:t>
      </w:r>
      <w:r w:rsidR="0027521B">
        <w:t xml:space="preserve">associated </w:t>
      </w:r>
      <w:r>
        <w:t>measures</w:t>
      </w:r>
      <w:r w:rsidR="0027521B">
        <w:t xml:space="preserve"> that are linked to the benefits</w:t>
      </w:r>
      <w:r w:rsidR="00304110">
        <w:rPr>
          <w:rStyle w:val="FootnoteReference"/>
        </w:rPr>
        <w:footnoteReference w:id="2"/>
      </w:r>
      <w:r w:rsidR="00080090">
        <w:t xml:space="preserve"> that the treatment is expected to produce</w:t>
      </w:r>
      <w:r w:rsidR="0027521B">
        <w:t xml:space="preserve"> is</w:t>
      </w:r>
      <w:r w:rsidR="00BC1661">
        <w:t xml:space="preserve"> necessary</w:t>
      </w:r>
      <w:r>
        <w:t xml:space="preserve"> to guide the design of the trial</w:t>
      </w:r>
      <w:r w:rsidR="00DB29F7">
        <w:t>, determine data requirements</w:t>
      </w:r>
      <w:r>
        <w:t xml:space="preserve"> and </w:t>
      </w:r>
      <w:r w:rsidR="00DB29F7">
        <w:t xml:space="preserve">to </w:t>
      </w:r>
      <w:r>
        <w:t xml:space="preserve">ensure that an appropriate evaluation methodology is used. This will have bearing on the timing of the trial, particularly if there is a need to collect </w:t>
      </w:r>
      <w:r w:rsidR="00EA2C3F">
        <w:t xml:space="preserve">baseline </w:t>
      </w:r>
      <w:r>
        <w:t>data prior to the implementation of any changes to road or roadside infrastructure.</w:t>
      </w:r>
      <w:r w:rsidR="00304110">
        <w:t xml:space="preserve"> </w:t>
      </w:r>
    </w:p>
    <w:p w:rsidR="00304110" w:rsidRDefault="00304110" w:rsidP="002A7E39">
      <w:pPr>
        <w:spacing w:before="0" w:after="120"/>
      </w:pPr>
    </w:p>
    <w:p w:rsidR="002A7E39" w:rsidRDefault="002A7E39" w:rsidP="002A7E39">
      <w:pPr>
        <w:spacing w:before="0" w:after="120"/>
      </w:pPr>
      <w:r>
        <w:lastRenderedPageBreak/>
        <w:t xml:space="preserve">Performance </w:t>
      </w:r>
      <w:r w:rsidR="00D21FEA">
        <w:t>indicators</w:t>
      </w:r>
      <w:r>
        <w:t xml:space="preserve"> may include </w:t>
      </w:r>
      <w:r w:rsidR="00B927BE">
        <w:t xml:space="preserve">or be related to </w:t>
      </w:r>
      <w:r>
        <w:t>casualty crashes, vehicle speeds, travel times, queue lengths, traffic volume, road user behaviour</w:t>
      </w:r>
      <w:r w:rsidR="00DB29F7">
        <w:t>,</w:t>
      </w:r>
      <w:r>
        <w:t xml:space="preserve"> environmental impacts</w:t>
      </w:r>
      <w:r w:rsidR="00DB29F7">
        <w:t xml:space="preserve">, </w:t>
      </w:r>
      <w:r w:rsidR="00F80E8A">
        <w:t xml:space="preserve">sustainability, </w:t>
      </w:r>
      <w:r w:rsidR="00C0039C">
        <w:t>treatment</w:t>
      </w:r>
      <w:r w:rsidR="00DB29F7">
        <w:t xml:space="preserve"> durability and compatibility with existing systems</w:t>
      </w:r>
      <w:r>
        <w:t xml:space="preserve">. Objective measures should be used </w:t>
      </w:r>
      <w:r w:rsidR="00CE6242">
        <w:t>as much as</w:t>
      </w:r>
      <w:r>
        <w:t xml:space="preserve"> possible.</w:t>
      </w:r>
    </w:p>
    <w:p w:rsidR="00307035" w:rsidRPr="00307035" w:rsidRDefault="00307035" w:rsidP="00307035">
      <w:pPr>
        <w:rPr>
          <w:u w:val="single"/>
        </w:rPr>
      </w:pPr>
      <w:r w:rsidRPr="00307035">
        <w:rPr>
          <w:u w:val="single"/>
        </w:rPr>
        <w:t>Related Guidelines Principles</w:t>
      </w:r>
    </w:p>
    <w:p w:rsidR="00307035" w:rsidRDefault="00307035" w:rsidP="00307035">
      <w:pPr>
        <w:numPr>
          <w:ilvl w:val="0"/>
          <w:numId w:val="11"/>
        </w:numPr>
        <w:spacing w:before="0" w:after="120"/>
      </w:pPr>
      <w:r>
        <w:rPr>
          <w:color w:val="37424A"/>
        </w:rPr>
        <w:t>Ensure that the on-road trial will enable the benefits and impacts of a new or innovative treatment to be evaluated.</w:t>
      </w:r>
    </w:p>
    <w:p w:rsidR="002A7E39" w:rsidRPr="007F26BC" w:rsidRDefault="007F26BC" w:rsidP="007F26BC">
      <w:pPr>
        <w:pStyle w:val="H2"/>
        <w:spacing w:after="120"/>
        <w:rPr>
          <w:i w:val="0"/>
          <w:sz w:val="20"/>
          <w:szCs w:val="20"/>
        </w:rPr>
      </w:pPr>
      <w:r w:rsidRPr="007F26BC">
        <w:rPr>
          <w:i w:val="0"/>
          <w:sz w:val="20"/>
          <w:szCs w:val="20"/>
        </w:rPr>
        <w:t>Design</w:t>
      </w:r>
      <w:r w:rsidR="00BC1661">
        <w:rPr>
          <w:i w:val="0"/>
          <w:sz w:val="20"/>
          <w:szCs w:val="20"/>
        </w:rPr>
        <w:t>ing the Trial</w:t>
      </w:r>
      <w:r w:rsidRPr="007F26BC">
        <w:rPr>
          <w:i w:val="0"/>
          <w:sz w:val="20"/>
          <w:szCs w:val="20"/>
        </w:rPr>
        <w:t xml:space="preserve"> and Evaluation Methodology</w:t>
      </w:r>
    </w:p>
    <w:p w:rsidR="007F26BC" w:rsidRDefault="00E402B1" w:rsidP="007F26BC">
      <w:pPr>
        <w:spacing w:before="0" w:after="120"/>
      </w:pPr>
      <w:r>
        <w:t xml:space="preserve">A </w:t>
      </w:r>
      <w:r w:rsidR="007F26BC">
        <w:t xml:space="preserve">trial proposal and evaluation methodology </w:t>
      </w:r>
      <w:r>
        <w:t xml:space="preserve">that is based around the defined performance indicators </w:t>
      </w:r>
      <w:r w:rsidR="000B6D55">
        <w:t xml:space="preserve">and measures </w:t>
      </w:r>
      <w:r>
        <w:t xml:space="preserve">will ensure </w:t>
      </w:r>
      <w:r w:rsidR="007F26BC">
        <w:t>th</w:t>
      </w:r>
      <w:r>
        <w:t xml:space="preserve">at </w:t>
      </w:r>
      <w:r w:rsidR="000B6D55">
        <w:t>evaluation</w:t>
      </w:r>
      <w:r w:rsidR="007F26BC">
        <w:t xml:space="preserve"> of the in-service performance of the </w:t>
      </w:r>
      <w:r w:rsidR="00C0039C">
        <w:t>treatment</w:t>
      </w:r>
      <w:r w:rsidR="007F26BC">
        <w:t xml:space="preserve"> is robust. The number and location of trial sites should be selected so that data samples are sufficient</w:t>
      </w:r>
      <w:r w:rsidR="000B6D55">
        <w:t>,</w:t>
      </w:r>
      <w:r w:rsidR="007F26BC">
        <w:t xml:space="preserve"> </w:t>
      </w:r>
      <w:r w:rsidR="00D938DF">
        <w:t>or the trial staged in a way that</w:t>
      </w:r>
      <w:r w:rsidR="007F26BC">
        <w:t xml:space="preserve"> </w:t>
      </w:r>
      <w:r w:rsidR="00351F13">
        <w:t xml:space="preserve">allows </w:t>
      </w:r>
      <w:r w:rsidR="007F26BC">
        <w:t>a reliable evaluation to be conducted.</w:t>
      </w:r>
      <w:r w:rsidR="00CE6242">
        <w:t xml:space="preserve"> As far as is practicable, the trial sites should be representative of the locations at which the treatment is ultimately likely to be used if adopted for general use on the road network.</w:t>
      </w:r>
      <w:r w:rsidR="00D20498">
        <w:t xml:space="preserve"> Trial sites may include local roads with the agreement of the relevant council</w:t>
      </w:r>
      <w:r w:rsidR="004E5BE6">
        <w:t>(s)</w:t>
      </w:r>
      <w:r w:rsidR="00D20498">
        <w:t>.</w:t>
      </w:r>
    </w:p>
    <w:p w:rsidR="00AE2566" w:rsidRDefault="00AE2566" w:rsidP="007F26BC">
      <w:pPr>
        <w:spacing w:before="0" w:after="120"/>
      </w:pPr>
      <w:r>
        <w:t>The method of evaluation will depend upon the performance indicators and measures</w:t>
      </w:r>
      <w:r w:rsidR="00755449">
        <w:t>, and whether they are quantitative or qualitative</w:t>
      </w:r>
      <w:r>
        <w:t xml:space="preserve">. </w:t>
      </w:r>
      <w:r w:rsidR="006316B5">
        <w:t>Further i</w:t>
      </w:r>
      <w:r>
        <w:t xml:space="preserve">nformation </w:t>
      </w:r>
      <w:r w:rsidR="007062FA">
        <w:t xml:space="preserve">about </w:t>
      </w:r>
      <w:r w:rsidR="006316B5">
        <w:t xml:space="preserve">how to </w:t>
      </w:r>
      <w:r w:rsidR="007062FA">
        <w:t>conduct</w:t>
      </w:r>
      <w:r w:rsidR="006316B5">
        <w:t xml:space="preserve"> an </w:t>
      </w:r>
      <w:r>
        <w:t xml:space="preserve">evaluation </w:t>
      </w:r>
      <w:r w:rsidR="006316B5">
        <w:t>and who should do it</w:t>
      </w:r>
      <w:r w:rsidR="007062FA">
        <w:t>, which may be of assistance,</w:t>
      </w:r>
      <w:r w:rsidR="006316B5">
        <w:t xml:space="preserve"> can be found in the </w:t>
      </w:r>
      <w:r>
        <w:t>IEF</w:t>
      </w:r>
      <w:r w:rsidR="006316B5">
        <w:t>.</w:t>
      </w:r>
    </w:p>
    <w:p w:rsidR="007F26BC" w:rsidRDefault="007F26BC" w:rsidP="007F26BC">
      <w:pPr>
        <w:spacing w:before="0" w:after="120"/>
      </w:pPr>
      <w:r>
        <w:t xml:space="preserve">The trial plan </w:t>
      </w:r>
      <w:r w:rsidR="00751B9A">
        <w:t xml:space="preserve">(see below) </w:t>
      </w:r>
      <w:r w:rsidR="00E402B1">
        <w:t>should</w:t>
      </w:r>
      <w:r>
        <w:t xml:space="preserve"> detail the key steps </w:t>
      </w:r>
      <w:r w:rsidR="00B01705">
        <w:t>during</w:t>
      </w:r>
      <w:r>
        <w:t xml:space="preserve"> the trial and its evaluation</w:t>
      </w:r>
      <w:r w:rsidR="000B6D55">
        <w:t>,</w:t>
      </w:r>
      <w:r>
        <w:t xml:space="preserve"> with timelines. This includes the duration of the trial phase and whether pre-trial conditions are to be reinstated on completion of the trial. </w:t>
      </w:r>
    </w:p>
    <w:p w:rsidR="007C1599" w:rsidRPr="00307035" w:rsidRDefault="007C1599" w:rsidP="007C1599">
      <w:pPr>
        <w:rPr>
          <w:u w:val="single"/>
        </w:rPr>
      </w:pPr>
      <w:r w:rsidRPr="00307035">
        <w:rPr>
          <w:u w:val="single"/>
        </w:rPr>
        <w:t>Related Guidelines Principles</w:t>
      </w:r>
    </w:p>
    <w:p w:rsidR="000B6D55" w:rsidRDefault="007C1599" w:rsidP="000B6D55">
      <w:pPr>
        <w:numPr>
          <w:ilvl w:val="0"/>
          <w:numId w:val="11"/>
        </w:numPr>
        <w:spacing w:before="0" w:after="0"/>
        <w:ind w:hanging="357"/>
      </w:pPr>
      <w:r>
        <w:rPr>
          <w:color w:val="37424A"/>
        </w:rPr>
        <w:t>Ensure that the on-road trial will enable the benefits and impacts of a new or innovative treatment to be evaluated.</w:t>
      </w:r>
    </w:p>
    <w:p w:rsidR="00FB61C0" w:rsidRPr="00015D0A" w:rsidRDefault="00080090" w:rsidP="00015D0A">
      <w:pPr>
        <w:pStyle w:val="H2"/>
        <w:spacing w:after="120"/>
        <w:rPr>
          <w:i w:val="0"/>
          <w:sz w:val="20"/>
          <w:szCs w:val="20"/>
        </w:rPr>
      </w:pPr>
      <w:r>
        <w:rPr>
          <w:i w:val="0"/>
          <w:sz w:val="20"/>
          <w:szCs w:val="20"/>
        </w:rPr>
        <w:t xml:space="preserve">The </w:t>
      </w:r>
      <w:r w:rsidR="00015D0A" w:rsidRPr="00015D0A">
        <w:rPr>
          <w:i w:val="0"/>
          <w:sz w:val="20"/>
          <w:szCs w:val="20"/>
        </w:rPr>
        <w:t>Trial Plan</w:t>
      </w:r>
    </w:p>
    <w:p w:rsidR="00BF3A9F" w:rsidRDefault="00BF3A9F" w:rsidP="00A86467">
      <w:pPr>
        <w:spacing w:before="0" w:after="120"/>
      </w:pPr>
      <w:r>
        <w:t>A trial plan is to be prepared</w:t>
      </w:r>
      <w:r w:rsidR="00690B36">
        <w:t xml:space="preserve"> which typically </w:t>
      </w:r>
      <w:r>
        <w:t>document</w:t>
      </w:r>
      <w:r w:rsidR="007131E8">
        <w:t>s</w:t>
      </w:r>
      <w:r>
        <w:t xml:space="preserve"> the following:</w:t>
      </w:r>
    </w:p>
    <w:p w:rsidR="00D21FEA" w:rsidRDefault="00D21FEA" w:rsidP="00A727C6">
      <w:pPr>
        <w:numPr>
          <w:ilvl w:val="0"/>
          <w:numId w:val="7"/>
        </w:numPr>
        <w:spacing w:before="0" w:after="0"/>
        <w:ind w:left="1497" w:hanging="357"/>
      </w:pPr>
      <w:r>
        <w:t xml:space="preserve">The </w:t>
      </w:r>
      <w:r w:rsidR="00003658">
        <w:t xml:space="preserve">target </w:t>
      </w:r>
      <w:r>
        <w:t>problem or opportunity</w:t>
      </w:r>
    </w:p>
    <w:p w:rsidR="00BF3A9F" w:rsidRDefault="00D21FEA" w:rsidP="00A727C6">
      <w:pPr>
        <w:numPr>
          <w:ilvl w:val="0"/>
          <w:numId w:val="7"/>
        </w:numPr>
        <w:spacing w:before="0" w:after="0"/>
        <w:ind w:left="1497" w:hanging="357"/>
      </w:pPr>
      <w:r>
        <w:t>T</w:t>
      </w:r>
      <w:r w:rsidR="00B01705">
        <w:t>he</w:t>
      </w:r>
      <w:r w:rsidR="00BF3A9F">
        <w:t xml:space="preserve"> objectives</w:t>
      </w:r>
      <w:r w:rsidR="00B01705">
        <w:t xml:space="preserve"> of the trial</w:t>
      </w:r>
    </w:p>
    <w:p w:rsidR="00BF3A9F" w:rsidRDefault="000B6D55" w:rsidP="00A727C6">
      <w:pPr>
        <w:numPr>
          <w:ilvl w:val="0"/>
          <w:numId w:val="7"/>
        </w:numPr>
        <w:spacing w:before="0" w:after="0"/>
        <w:ind w:left="1497" w:hanging="357"/>
      </w:pPr>
      <w:r>
        <w:t>Performance indicators and measures</w:t>
      </w:r>
    </w:p>
    <w:p w:rsidR="00BF3A9F" w:rsidRDefault="00B01705" w:rsidP="00A727C6">
      <w:pPr>
        <w:numPr>
          <w:ilvl w:val="0"/>
          <w:numId w:val="7"/>
        </w:numPr>
        <w:spacing w:before="0" w:after="0"/>
        <w:ind w:left="1497" w:hanging="357"/>
      </w:pPr>
      <w:r>
        <w:t xml:space="preserve">The design of the trial </w:t>
      </w:r>
      <w:r w:rsidR="00BF3A9F">
        <w:t>(including location details)</w:t>
      </w:r>
    </w:p>
    <w:p w:rsidR="00BF3A9F" w:rsidRDefault="00B01705" w:rsidP="00A727C6">
      <w:pPr>
        <w:numPr>
          <w:ilvl w:val="0"/>
          <w:numId w:val="7"/>
        </w:numPr>
        <w:spacing w:before="0" w:after="0"/>
        <w:ind w:left="1497" w:hanging="357"/>
      </w:pPr>
      <w:r>
        <w:t>How the trial is to be evaluated</w:t>
      </w:r>
      <w:r w:rsidR="00AD00A8">
        <w:t xml:space="preserve"> and by whom</w:t>
      </w:r>
    </w:p>
    <w:p w:rsidR="001E5668" w:rsidRDefault="001E5668" w:rsidP="00A727C6">
      <w:pPr>
        <w:numPr>
          <w:ilvl w:val="0"/>
          <w:numId w:val="7"/>
        </w:numPr>
        <w:spacing w:before="0" w:after="0"/>
        <w:ind w:left="1497" w:hanging="357"/>
      </w:pPr>
      <w:r>
        <w:t>Trial cost</w:t>
      </w:r>
      <w:r w:rsidR="00B01705">
        <w:t>s</w:t>
      </w:r>
      <w:r>
        <w:t xml:space="preserve"> and funding sources</w:t>
      </w:r>
    </w:p>
    <w:p w:rsidR="001C6DF3" w:rsidRDefault="001C6DF3" w:rsidP="00A727C6">
      <w:pPr>
        <w:numPr>
          <w:ilvl w:val="0"/>
          <w:numId w:val="7"/>
        </w:numPr>
        <w:spacing w:before="0" w:after="0"/>
        <w:ind w:left="1497" w:hanging="357"/>
      </w:pPr>
      <w:r>
        <w:t>Timelines</w:t>
      </w:r>
    </w:p>
    <w:p w:rsidR="001C6DF3" w:rsidRDefault="001C6DF3" w:rsidP="00A727C6">
      <w:pPr>
        <w:numPr>
          <w:ilvl w:val="0"/>
          <w:numId w:val="7"/>
        </w:numPr>
        <w:spacing w:before="0" w:after="0"/>
        <w:ind w:left="1497" w:hanging="357"/>
      </w:pPr>
      <w:r>
        <w:t>Assessment of risks</w:t>
      </w:r>
    </w:p>
    <w:p w:rsidR="004E5BE6" w:rsidRDefault="004E5BE6" w:rsidP="00A727C6">
      <w:pPr>
        <w:numPr>
          <w:ilvl w:val="0"/>
          <w:numId w:val="7"/>
        </w:numPr>
        <w:spacing w:before="0" w:after="120"/>
        <w:ind w:left="1497" w:hanging="357"/>
      </w:pPr>
      <w:r>
        <w:t>Stakeholder engagement</w:t>
      </w:r>
    </w:p>
    <w:p w:rsidR="001000C7" w:rsidRDefault="001000C7" w:rsidP="001000C7">
      <w:pPr>
        <w:spacing w:before="0" w:after="120"/>
      </w:pPr>
      <w:r>
        <w:t xml:space="preserve">A detailed cost estimate for the trial is to be prepared if required by the business area manager responsible for approving the trial plan. This should include the cost of evaluation and reinstatement (if necessary) at the end of the trial. The funding source should be specified with details of contributions from external organisations. In certain cases, it is not unreasonable for VicRoads to expect a proponent of a new or innovative treatment to contribute to the funding of a trial (for example, where a supplier will potentially gain commercial benefit if a product is ultimately approved for </w:t>
      </w:r>
      <w:r w:rsidR="005B3AF5">
        <w:t xml:space="preserve">general </w:t>
      </w:r>
      <w:r>
        <w:t>use).</w:t>
      </w:r>
    </w:p>
    <w:p w:rsidR="0006774F" w:rsidRDefault="0006774F" w:rsidP="00A86467">
      <w:pPr>
        <w:spacing w:before="0" w:after="120"/>
      </w:pPr>
    </w:p>
    <w:p w:rsidR="00C315FF" w:rsidRDefault="001C6DF3" w:rsidP="00A86467">
      <w:pPr>
        <w:spacing w:before="0" w:after="120"/>
      </w:pPr>
      <w:r>
        <w:t xml:space="preserve">The trial plan should be prepared in consultation with stakeholders, including VicRoads’ business areas with relevant knowledge or </w:t>
      </w:r>
      <w:r w:rsidR="0041243D">
        <w:t xml:space="preserve">technical expertise and the business area that would be responsible for producing or amending relevant guidelines, standards or specifications should the trial be successful. </w:t>
      </w:r>
    </w:p>
    <w:p w:rsidR="00B01705" w:rsidRDefault="00B01705" w:rsidP="00A86467">
      <w:pPr>
        <w:spacing w:before="0" w:after="120"/>
      </w:pPr>
      <w:r>
        <w:t xml:space="preserve">The plan must include a risk assessment which identifies the risks associated with the trial and any control measures to manage significant risks. </w:t>
      </w:r>
      <w:r w:rsidR="0041243D">
        <w:t xml:space="preserve">It should also include any additional performance indicators </w:t>
      </w:r>
      <w:r w:rsidR="00AD00A8">
        <w:t xml:space="preserve">and measures </w:t>
      </w:r>
      <w:r w:rsidR="0041243D">
        <w:t>required to assist with monitoring of risks</w:t>
      </w:r>
      <w:r w:rsidR="0006774F">
        <w:t xml:space="preserve"> and disbenfits</w:t>
      </w:r>
      <w:r w:rsidR="0041243D">
        <w:t xml:space="preserve">. </w:t>
      </w:r>
      <w:r>
        <w:t xml:space="preserve">The risks to be considered </w:t>
      </w:r>
      <w:r w:rsidR="00E402B1">
        <w:t>should</w:t>
      </w:r>
      <w:r>
        <w:t xml:space="preserve"> include, but not necessarily be limited to, the safety of</w:t>
      </w:r>
      <w:r w:rsidR="00E62BC0">
        <w:t xml:space="preserve"> </w:t>
      </w:r>
      <w:r>
        <w:t xml:space="preserve">road users, </w:t>
      </w:r>
      <w:r w:rsidR="00E62BC0">
        <w:t>other road</w:t>
      </w:r>
      <w:r w:rsidR="00B87F1B">
        <w:t xml:space="preserve"> user</w:t>
      </w:r>
      <w:r w:rsidR="005B3AF5">
        <w:t xml:space="preserve"> impacts</w:t>
      </w:r>
      <w:r w:rsidR="00E62BC0">
        <w:t xml:space="preserve">, </w:t>
      </w:r>
      <w:r>
        <w:t>legal</w:t>
      </w:r>
      <w:r w:rsidR="001000C7">
        <w:t>, financial, VicRoads</w:t>
      </w:r>
      <w:r w:rsidR="005B3AF5">
        <w:t>’</w:t>
      </w:r>
      <w:r w:rsidR="001000C7">
        <w:t xml:space="preserve"> reputation</w:t>
      </w:r>
      <w:r>
        <w:t xml:space="preserve"> and implications in the event that the trial </w:t>
      </w:r>
      <w:r w:rsidR="00D9673E">
        <w:t>i</w:t>
      </w:r>
      <w:r>
        <w:t>s</w:t>
      </w:r>
      <w:r w:rsidR="00D9673E">
        <w:t xml:space="preserve"> unsuccessful</w:t>
      </w:r>
      <w:r>
        <w:t>.</w:t>
      </w:r>
    </w:p>
    <w:p w:rsidR="001C6DF3" w:rsidRDefault="00C315FF" w:rsidP="00A86467">
      <w:pPr>
        <w:spacing w:before="0" w:after="120"/>
      </w:pPr>
      <w:r>
        <w:t>The trial plan is to be approved by the manager (or delegate) of the business area responsible for the trial.</w:t>
      </w:r>
      <w:r w:rsidR="001C6DF3">
        <w:t xml:space="preserve"> </w:t>
      </w:r>
      <w:r>
        <w:t xml:space="preserve">The trial </w:t>
      </w:r>
      <w:r w:rsidR="00FF2C6F">
        <w:t xml:space="preserve">details </w:t>
      </w:r>
      <w:r>
        <w:t xml:space="preserve">shall then be </w:t>
      </w:r>
      <w:r w:rsidR="00FF2C6F">
        <w:t>entered</w:t>
      </w:r>
      <w:r>
        <w:t xml:space="preserve"> </w:t>
      </w:r>
      <w:r w:rsidR="00673126">
        <w:t>i</w:t>
      </w:r>
      <w:r>
        <w:t>n</w:t>
      </w:r>
      <w:r w:rsidR="00FF2C6F">
        <w:t>to</w:t>
      </w:r>
      <w:r>
        <w:t xml:space="preserve"> the register </w:t>
      </w:r>
      <w:r w:rsidR="007131E8">
        <w:t>of</w:t>
      </w:r>
      <w:r>
        <w:t xml:space="preserve"> on-road trials of new and innovative </w:t>
      </w:r>
      <w:r w:rsidR="00C0039C">
        <w:t>treatment</w:t>
      </w:r>
      <w:r w:rsidR="00D9673E">
        <w:t>s and updated as the trial progresses, by the responsible business area.</w:t>
      </w:r>
    </w:p>
    <w:p w:rsidR="007C1599" w:rsidRPr="00307035" w:rsidRDefault="007C1599" w:rsidP="007C1599">
      <w:pPr>
        <w:rPr>
          <w:u w:val="single"/>
        </w:rPr>
      </w:pPr>
      <w:r w:rsidRPr="00307035">
        <w:rPr>
          <w:u w:val="single"/>
        </w:rPr>
        <w:t>Related Guidelines Principles</w:t>
      </w:r>
    </w:p>
    <w:p w:rsidR="007C1599" w:rsidRPr="007C1599" w:rsidRDefault="007C1599" w:rsidP="007C1599">
      <w:pPr>
        <w:numPr>
          <w:ilvl w:val="0"/>
          <w:numId w:val="11"/>
        </w:numPr>
        <w:spacing w:before="0" w:after="0"/>
        <w:ind w:hanging="357"/>
      </w:pPr>
      <w:r>
        <w:rPr>
          <w:color w:val="37424A"/>
        </w:rPr>
        <w:t>Minimise, as far as practicable, all safety, legal, reputational and financial risks associated with the on-road trial.</w:t>
      </w:r>
    </w:p>
    <w:p w:rsidR="007C1599" w:rsidRPr="007C1599" w:rsidRDefault="007C1599" w:rsidP="007C1599">
      <w:pPr>
        <w:numPr>
          <w:ilvl w:val="0"/>
          <w:numId w:val="11"/>
        </w:numPr>
        <w:spacing w:before="0" w:after="0"/>
        <w:ind w:hanging="357"/>
      </w:pPr>
      <w:r>
        <w:rPr>
          <w:color w:val="37424A"/>
        </w:rPr>
        <w:t>Ensure that the on-road trial will enable the benefits and impacts of a new or innovative treatment to be evaluated.</w:t>
      </w:r>
    </w:p>
    <w:p w:rsidR="007C1599" w:rsidRDefault="007C1599" w:rsidP="007C1599">
      <w:pPr>
        <w:numPr>
          <w:ilvl w:val="0"/>
          <w:numId w:val="11"/>
        </w:numPr>
        <w:spacing w:before="0" w:after="120"/>
      </w:pPr>
      <w:r>
        <w:rPr>
          <w:color w:val="37424A"/>
        </w:rPr>
        <w:t>Identify and engage key internal and external stakeholders to ensure that the on-road trial is conducted in a robust and efficient manner.</w:t>
      </w:r>
    </w:p>
    <w:p w:rsidR="00C315FF" w:rsidRPr="00C315FF" w:rsidRDefault="00C315FF" w:rsidP="00C315FF">
      <w:pPr>
        <w:pStyle w:val="H2"/>
        <w:rPr>
          <w:i w:val="0"/>
          <w:sz w:val="20"/>
          <w:szCs w:val="20"/>
        </w:rPr>
      </w:pPr>
      <w:r w:rsidRPr="00C315FF">
        <w:rPr>
          <w:i w:val="0"/>
          <w:sz w:val="20"/>
          <w:szCs w:val="20"/>
        </w:rPr>
        <w:t>Conducting the Trial</w:t>
      </w:r>
    </w:p>
    <w:p w:rsidR="00C315FF" w:rsidRDefault="00DC1BEF" w:rsidP="00504C92">
      <w:pPr>
        <w:spacing w:before="0" w:after="120"/>
      </w:pPr>
      <w:r>
        <w:t xml:space="preserve">The on-road trial can commence once </w:t>
      </w:r>
      <w:r w:rsidR="007131E8">
        <w:t>all</w:t>
      </w:r>
      <w:r>
        <w:t xml:space="preserve"> data that is required before installation of the </w:t>
      </w:r>
      <w:r w:rsidR="00C0039C">
        <w:t>treatment</w:t>
      </w:r>
      <w:r>
        <w:t xml:space="preserve"> </w:t>
      </w:r>
      <w:r w:rsidR="007131E8">
        <w:t>has been collected</w:t>
      </w:r>
      <w:r>
        <w:t xml:space="preserve">. </w:t>
      </w:r>
      <w:r w:rsidR="004430DA">
        <w:t>The business area responsible for the trial shall update the Register of On-road Trials once the trail has commenced.</w:t>
      </w:r>
    </w:p>
    <w:p w:rsidR="00DC1BEF" w:rsidRDefault="00DC1BEF" w:rsidP="00504C92">
      <w:pPr>
        <w:spacing w:before="0" w:after="120"/>
      </w:pPr>
      <w:r>
        <w:t xml:space="preserve">If monitoring of the trial indicates that it is not proceeding satisfactorily, it may be necessary for </w:t>
      </w:r>
      <w:r w:rsidR="007131E8">
        <w:t>the trial</w:t>
      </w:r>
      <w:r>
        <w:t xml:space="preserve"> to be modified or abandoned.</w:t>
      </w:r>
      <w:r w:rsidR="00AD00A8">
        <w:t xml:space="preserve"> Factors that may result in the modification or abandonment of a trial may be related to safety, </w:t>
      </w:r>
      <w:r w:rsidR="00B56BE5">
        <w:t>operations</w:t>
      </w:r>
      <w:r w:rsidR="00613017">
        <w:t xml:space="preserve"> or </w:t>
      </w:r>
      <w:r w:rsidR="00B56BE5">
        <w:t xml:space="preserve">road user / </w:t>
      </w:r>
      <w:r w:rsidR="00613017">
        <w:t xml:space="preserve">community feedback. A trial may also be terminated if it becomes apparent that the treatment will not </w:t>
      </w:r>
      <w:r w:rsidR="00B56BE5">
        <w:t>produce</w:t>
      </w:r>
      <w:r w:rsidR="00613017">
        <w:t xml:space="preserve"> satisfactory benefits. If a trial is abandoned or terminated, trial sites must be reinstated to pre-trial condition or, if not practicable, a suitable </w:t>
      </w:r>
      <w:r w:rsidR="00B56BE5">
        <w:t>state</w:t>
      </w:r>
      <w:r w:rsidR="00613017">
        <w:t>.</w:t>
      </w:r>
    </w:p>
    <w:p w:rsidR="00DC1BEF" w:rsidRDefault="00DC1BEF" w:rsidP="00504C92">
      <w:pPr>
        <w:spacing w:before="0" w:after="120"/>
      </w:pPr>
      <w:r>
        <w:t xml:space="preserve">Upon completion of the trial, the </w:t>
      </w:r>
      <w:r w:rsidR="00C0039C">
        <w:t>treatment</w:t>
      </w:r>
      <w:r>
        <w:t xml:space="preserve"> </w:t>
      </w:r>
      <w:r w:rsidR="001018CD">
        <w:t>is to</w:t>
      </w:r>
      <w:r>
        <w:t xml:space="preserve"> be </w:t>
      </w:r>
      <w:r w:rsidR="007131E8">
        <w:t xml:space="preserve">either </w:t>
      </w:r>
      <w:r>
        <w:t>removed and conditions reinstated</w:t>
      </w:r>
      <w:r w:rsidR="007131E8">
        <w:t>,</w:t>
      </w:r>
      <w:r>
        <w:t xml:space="preserve"> </w:t>
      </w:r>
      <w:r w:rsidR="001018CD">
        <w:t>or retained</w:t>
      </w:r>
      <w:r w:rsidR="007131E8">
        <w:t>,</w:t>
      </w:r>
      <w:r w:rsidR="001018CD">
        <w:t xml:space="preserve"> as specified in the trial plan.</w:t>
      </w:r>
    </w:p>
    <w:p w:rsidR="007C1599" w:rsidRPr="00307035" w:rsidRDefault="007C1599" w:rsidP="007C1599">
      <w:pPr>
        <w:rPr>
          <w:u w:val="single"/>
        </w:rPr>
      </w:pPr>
      <w:r w:rsidRPr="00307035">
        <w:rPr>
          <w:u w:val="single"/>
        </w:rPr>
        <w:t>Related Guidelines Principles</w:t>
      </w:r>
    </w:p>
    <w:p w:rsidR="007C1599" w:rsidRDefault="007C1599" w:rsidP="007C1599">
      <w:pPr>
        <w:numPr>
          <w:ilvl w:val="0"/>
          <w:numId w:val="12"/>
        </w:numPr>
        <w:spacing w:before="0" w:after="0"/>
      </w:pPr>
      <w:r>
        <w:rPr>
          <w:color w:val="37424A"/>
        </w:rPr>
        <w:t xml:space="preserve">If there are unacceptable safety, operational or other adverse impacts during a trial, or the trial is unsuccessful, trial sites must be reinstated to their original, </w:t>
      </w:r>
      <w:r w:rsidRPr="00201849">
        <w:t>or acceptable</w:t>
      </w:r>
      <w:r>
        <w:rPr>
          <w:color w:val="37424A"/>
        </w:rPr>
        <w:t>, condition as soon as practicable.</w:t>
      </w:r>
    </w:p>
    <w:p w:rsidR="00C315FF" w:rsidRPr="001018CD" w:rsidRDefault="00E402B1" w:rsidP="001018CD">
      <w:pPr>
        <w:pStyle w:val="H2"/>
        <w:rPr>
          <w:i w:val="0"/>
          <w:sz w:val="20"/>
          <w:szCs w:val="20"/>
        </w:rPr>
      </w:pPr>
      <w:r>
        <w:rPr>
          <w:i w:val="0"/>
          <w:sz w:val="20"/>
          <w:szCs w:val="20"/>
        </w:rPr>
        <w:t>Evaluating the Trial</w:t>
      </w:r>
    </w:p>
    <w:p w:rsidR="00FF2C6F" w:rsidRDefault="001018CD" w:rsidP="00504C92">
      <w:pPr>
        <w:spacing w:before="0" w:after="120"/>
      </w:pPr>
      <w:r>
        <w:t xml:space="preserve">The final step of the trial phase is completion of </w:t>
      </w:r>
      <w:r w:rsidR="003B6439">
        <w:t xml:space="preserve">the evaluation and reporting of the results. </w:t>
      </w:r>
      <w:r w:rsidR="007B78E8">
        <w:t>Based on the outcome of the trial</w:t>
      </w:r>
      <w:r w:rsidR="00FF2C6F">
        <w:t>,</w:t>
      </w:r>
      <w:r w:rsidR="007B78E8">
        <w:t xml:space="preserve"> recommendations should be made </w:t>
      </w:r>
      <w:r w:rsidR="00D9673E">
        <w:t>regarding</w:t>
      </w:r>
      <w:r w:rsidR="007B78E8">
        <w:t xml:space="preserve"> the ongoing use of the </w:t>
      </w:r>
      <w:r w:rsidR="00C0039C">
        <w:t>treatment</w:t>
      </w:r>
      <w:r w:rsidR="009E5954">
        <w:t>, including how and where the treatment could be rolled out</w:t>
      </w:r>
      <w:r w:rsidR="007B78E8">
        <w:t>.</w:t>
      </w:r>
      <w:r w:rsidR="00F80E8A">
        <w:t xml:space="preserve"> </w:t>
      </w:r>
    </w:p>
    <w:p w:rsidR="009E5954" w:rsidRDefault="00FF2C6F" w:rsidP="00504C92">
      <w:pPr>
        <w:spacing w:before="0" w:after="120"/>
      </w:pPr>
      <w:r>
        <w:lastRenderedPageBreak/>
        <w:t xml:space="preserve">The business area responsible for the trial shall advise stakeholders of the results and update the register of on-road trials, which </w:t>
      </w:r>
      <w:r w:rsidR="00E402B1">
        <w:t>should</w:t>
      </w:r>
      <w:r>
        <w:t xml:space="preserve"> include advice on where to obtain a copy of the evaluation report.</w:t>
      </w:r>
      <w:r w:rsidR="00220219">
        <w:t xml:space="preserve"> </w:t>
      </w:r>
      <w:r w:rsidR="003A6A4D">
        <w:t>Care needs to be taken regarding any confidential information pertaining to proprietary products.</w:t>
      </w:r>
    </w:p>
    <w:p w:rsidR="007C1599" w:rsidRPr="00307035" w:rsidRDefault="007C1599" w:rsidP="007C1599">
      <w:pPr>
        <w:rPr>
          <w:u w:val="single"/>
        </w:rPr>
      </w:pPr>
      <w:r w:rsidRPr="00307035">
        <w:rPr>
          <w:u w:val="single"/>
        </w:rPr>
        <w:t>Related Guidelines Principles</w:t>
      </w:r>
    </w:p>
    <w:p w:rsidR="007C1599" w:rsidRDefault="007C1599" w:rsidP="007C1599">
      <w:pPr>
        <w:numPr>
          <w:ilvl w:val="0"/>
          <w:numId w:val="12"/>
        </w:numPr>
        <w:spacing w:before="0" w:after="120"/>
      </w:pPr>
      <w:r>
        <w:rPr>
          <w:color w:val="37424A"/>
        </w:rPr>
        <w:t>The outcome of the trial is to be communicated to all key stakeholders.</w:t>
      </w:r>
    </w:p>
    <w:p w:rsidR="00C315FF" w:rsidRPr="003B6439" w:rsidRDefault="003B6439" w:rsidP="003B6439">
      <w:pPr>
        <w:pStyle w:val="H2"/>
        <w:rPr>
          <w:i w:val="0"/>
          <w:sz w:val="20"/>
          <w:szCs w:val="20"/>
        </w:rPr>
      </w:pPr>
      <w:r w:rsidRPr="003B6439">
        <w:rPr>
          <w:i w:val="0"/>
          <w:sz w:val="20"/>
          <w:szCs w:val="20"/>
        </w:rPr>
        <w:t>Post-trial Phase</w:t>
      </w:r>
    </w:p>
    <w:p w:rsidR="0029626B" w:rsidRDefault="007B78E8" w:rsidP="00504C92">
      <w:pPr>
        <w:spacing w:before="0" w:after="120"/>
      </w:pPr>
      <w:r>
        <w:t xml:space="preserve">As with the pre-trial phase, the process in the post-trial phase will vary for different </w:t>
      </w:r>
      <w:r w:rsidR="00C0039C">
        <w:t>treatment</w:t>
      </w:r>
      <w:r>
        <w:t xml:space="preserve"> types. Approval of a new or innovative </w:t>
      </w:r>
      <w:r w:rsidR="00C0039C">
        <w:t>treatment</w:t>
      </w:r>
      <w:r>
        <w:t xml:space="preserve"> for general use may involve changes to specifications, design standards or guidelines.</w:t>
      </w:r>
    </w:p>
    <w:p w:rsidR="007A432F" w:rsidRDefault="0029626B" w:rsidP="00504C92">
      <w:pPr>
        <w:spacing w:before="0" w:after="120"/>
      </w:pPr>
      <w:r>
        <w:t>The business area responsible for the relevant standard or guideline should consider recommendations regarding the roll out of the treatment and prepare a</w:t>
      </w:r>
      <w:r w:rsidR="007A432F">
        <w:t xml:space="preserve"> business case to support a funding proposal</w:t>
      </w:r>
      <w:r>
        <w:t xml:space="preserve"> if necessary</w:t>
      </w:r>
      <w:r w:rsidR="007A432F">
        <w:t>.</w:t>
      </w:r>
    </w:p>
    <w:p w:rsidR="007C1599" w:rsidRDefault="007B78E8" w:rsidP="00C352E9">
      <w:pPr>
        <w:spacing w:before="0" w:after="120"/>
      </w:pPr>
      <w:r>
        <w:t>Th</w:t>
      </w:r>
      <w:r w:rsidR="003E5D1C">
        <w:t>e scope of this</w:t>
      </w:r>
      <w:r>
        <w:t xml:space="preserve"> guideline does not </w:t>
      </w:r>
      <w:r w:rsidR="003E5D1C">
        <w:t xml:space="preserve">include </w:t>
      </w:r>
      <w:r w:rsidR="00FF2C6F">
        <w:t xml:space="preserve">details of </w:t>
      </w:r>
      <w:r w:rsidR="003E5D1C">
        <w:t>practices and requirements</w:t>
      </w:r>
      <w:r>
        <w:t xml:space="preserve"> </w:t>
      </w:r>
      <w:r w:rsidR="003E5D1C">
        <w:t xml:space="preserve">in </w:t>
      </w:r>
      <w:r>
        <w:t>the post-trial phase.</w:t>
      </w:r>
    </w:p>
    <w:p w:rsidR="006B6069" w:rsidRDefault="006B6069" w:rsidP="006B6069">
      <w:pPr>
        <w:pStyle w:val="H3"/>
      </w:pPr>
      <w:r>
        <w:t>Exceptions</w:t>
      </w:r>
    </w:p>
    <w:p w:rsidR="006B6069" w:rsidRDefault="006B6069" w:rsidP="006B6069">
      <w:r>
        <w:t>Ad hoc on-road trials that do not comply with the requirements of this guideline may be conducted in some circumstances. For example, where a treatment is applied to address a localised issue and it is not intended to pursue approval for its general use on the road network. However, in such cases an appropriate pre-trial assessment of the treatment would usually be necessary to confirm that the treatment is needed and that options have been considered.</w:t>
      </w:r>
    </w:p>
    <w:p w:rsidR="004A0E06" w:rsidRPr="00A40D1F" w:rsidRDefault="004A0E06" w:rsidP="00DD11FC">
      <w:pPr>
        <w:pStyle w:val="H3"/>
        <w:spacing w:before="0" w:after="120"/>
      </w:pPr>
      <w:r w:rsidRPr="00A40D1F">
        <w:t>Evaluation and Review</w:t>
      </w:r>
      <w:r w:rsidR="0006774F">
        <w:t xml:space="preserve"> of this Guideline</w:t>
      </w:r>
    </w:p>
    <w:p w:rsidR="004E1DB2" w:rsidRDefault="00812803" w:rsidP="00DD11FC">
      <w:pPr>
        <w:spacing w:after="120"/>
        <w:rPr>
          <w:color w:val="FF0000"/>
        </w:rPr>
      </w:pPr>
      <w:r>
        <w:rPr>
          <w:color w:val="37424A"/>
        </w:rPr>
        <w:t>Guidelines</w:t>
      </w:r>
      <w:r w:rsidR="00D072EF">
        <w:rPr>
          <w:color w:val="37424A"/>
        </w:rPr>
        <w:t xml:space="preserve"> will </w:t>
      </w:r>
      <w:r w:rsidR="000D0FE1">
        <w:rPr>
          <w:color w:val="37424A"/>
        </w:rPr>
        <w:t xml:space="preserve">be evaluated and reviewed on a regular </w:t>
      </w:r>
      <w:r w:rsidR="00DC5CB8" w:rsidRPr="00C4065D">
        <w:rPr>
          <w:color w:val="37424A"/>
        </w:rPr>
        <w:t xml:space="preserve">basis </w:t>
      </w:r>
      <w:r w:rsidR="00356076" w:rsidRPr="00C4065D">
        <w:rPr>
          <w:color w:val="37424A"/>
        </w:rPr>
        <w:t xml:space="preserve">to monitor </w:t>
      </w:r>
      <w:r w:rsidR="00D072EF">
        <w:rPr>
          <w:color w:val="37424A"/>
        </w:rPr>
        <w:t xml:space="preserve">their </w:t>
      </w:r>
      <w:r w:rsidR="00356076" w:rsidRPr="00C4065D">
        <w:rPr>
          <w:color w:val="37424A"/>
        </w:rPr>
        <w:t xml:space="preserve">progress towards achieving the </w:t>
      </w:r>
      <w:r w:rsidR="000A2C64">
        <w:rPr>
          <w:color w:val="37424A"/>
        </w:rPr>
        <w:t>desired outcomes</w:t>
      </w:r>
      <w:r w:rsidR="006C1FAF" w:rsidRPr="00C4065D">
        <w:rPr>
          <w:color w:val="37424A"/>
        </w:rPr>
        <w:t>.</w:t>
      </w:r>
      <w:r w:rsidR="000A2C64">
        <w:rPr>
          <w:color w:val="37424A"/>
        </w:rPr>
        <w:t xml:space="preserve"> Refer to the Evaluation Record </w:t>
      </w:r>
      <w:r w:rsidR="000A2C64" w:rsidRPr="000E195F">
        <w:t xml:space="preserve">(QD: </w:t>
      </w:r>
      <w:r w:rsidR="000E195F">
        <w:t>#2634098</w:t>
      </w:r>
      <w:r w:rsidR="000A2C64" w:rsidRPr="000E195F">
        <w:t>)</w:t>
      </w:r>
    </w:p>
    <w:p w:rsidR="004630AA" w:rsidRDefault="004630AA" w:rsidP="00DD11FC">
      <w:pPr>
        <w:pStyle w:val="H3"/>
        <w:spacing w:before="0" w:after="180"/>
      </w:pPr>
      <w:r w:rsidRPr="00C4065D">
        <w:t>Related documents</w:t>
      </w:r>
    </w:p>
    <w:tbl>
      <w:tblPr>
        <w:tblW w:w="0" w:type="auto"/>
        <w:tblInd w:w="828" w:type="dxa"/>
        <w:tblBorders>
          <w:top w:val="single" w:sz="4" w:space="0" w:color="auto"/>
          <w:bottom w:val="single" w:sz="4" w:space="0" w:color="auto"/>
        </w:tblBorders>
        <w:tblLook w:val="01E0"/>
      </w:tblPr>
      <w:tblGrid>
        <w:gridCol w:w="6855"/>
        <w:gridCol w:w="1889"/>
      </w:tblGrid>
      <w:tr w:rsidR="004630AA" w:rsidRPr="00C4065D" w:rsidTr="00E62BC0">
        <w:trPr>
          <w:trHeight w:val="465"/>
        </w:trPr>
        <w:tc>
          <w:tcPr>
            <w:tcW w:w="6855" w:type="dxa"/>
            <w:tcBorders>
              <w:top w:val="nil"/>
              <w:bottom w:val="nil"/>
            </w:tcBorders>
            <w:shd w:val="clear" w:color="auto" w:fill="8CC63F"/>
            <w:vAlign w:val="center"/>
          </w:tcPr>
          <w:p w:rsidR="004630AA" w:rsidRPr="00F174ED" w:rsidRDefault="004630AA" w:rsidP="00DD11FC">
            <w:pPr>
              <w:pStyle w:val="Heading1"/>
              <w:ind w:hanging="34"/>
              <w:rPr>
                <w:color w:val="FFFFFF" w:themeColor="background1"/>
              </w:rPr>
            </w:pPr>
            <w:r w:rsidRPr="00F174ED">
              <w:rPr>
                <w:color w:val="FFFFFF" w:themeColor="background1"/>
              </w:rPr>
              <w:t xml:space="preserve">Document </w:t>
            </w:r>
            <w:r w:rsidR="00DD11FC">
              <w:rPr>
                <w:color w:val="FFFFFF" w:themeColor="background1"/>
              </w:rPr>
              <w:t>T</w:t>
            </w:r>
            <w:r w:rsidRPr="00F174ED">
              <w:rPr>
                <w:color w:val="FFFFFF" w:themeColor="background1"/>
              </w:rPr>
              <w:t>itle</w:t>
            </w:r>
          </w:p>
        </w:tc>
        <w:tc>
          <w:tcPr>
            <w:tcW w:w="1889" w:type="dxa"/>
            <w:tcBorders>
              <w:top w:val="nil"/>
              <w:bottom w:val="nil"/>
            </w:tcBorders>
            <w:shd w:val="clear" w:color="auto" w:fill="8CC63F"/>
            <w:vAlign w:val="center"/>
          </w:tcPr>
          <w:p w:rsidR="004630AA" w:rsidRPr="00F174ED" w:rsidRDefault="00C533ED" w:rsidP="00DD11FC">
            <w:pPr>
              <w:pStyle w:val="Heading1"/>
              <w:ind w:hanging="34"/>
              <w:rPr>
                <w:color w:val="FFFFFF" w:themeColor="background1"/>
              </w:rPr>
            </w:pPr>
            <w:proofErr w:type="spellStart"/>
            <w:r w:rsidRPr="00F174ED">
              <w:rPr>
                <w:color w:val="FFFFFF" w:themeColor="background1"/>
              </w:rPr>
              <w:t>QuickDocs</w:t>
            </w:r>
            <w:proofErr w:type="spellEnd"/>
            <w:r w:rsidRPr="00F174ED">
              <w:rPr>
                <w:color w:val="FFFFFF" w:themeColor="background1"/>
              </w:rPr>
              <w:t xml:space="preserve"> Ref</w:t>
            </w:r>
          </w:p>
        </w:tc>
      </w:tr>
      <w:tr w:rsidR="0006774F" w:rsidRPr="00C4065D" w:rsidTr="00E62BC0">
        <w:tc>
          <w:tcPr>
            <w:tcW w:w="6855" w:type="dxa"/>
            <w:tcBorders>
              <w:top w:val="nil"/>
              <w:bottom w:val="single" w:sz="8" w:space="0" w:color="92D050"/>
              <w:right w:val="single" w:sz="8" w:space="0" w:color="92D050"/>
            </w:tcBorders>
            <w:shd w:val="clear" w:color="auto" w:fill="auto"/>
          </w:tcPr>
          <w:p w:rsidR="0006774F" w:rsidRDefault="0006774F" w:rsidP="0006774F">
            <w:pPr>
              <w:ind w:left="0" w:firstLine="23"/>
              <w:rPr>
                <w:color w:val="37424A"/>
              </w:rPr>
            </w:pPr>
            <w:r>
              <w:rPr>
                <w:color w:val="37424A"/>
              </w:rPr>
              <w:t>Benefit Management Framework</w:t>
            </w:r>
          </w:p>
        </w:tc>
        <w:tc>
          <w:tcPr>
            <w:tcW w:w="1889" w:type="dxa"/>
            <w:tcBorders>
              <w:top w:val="nil"/>
              <w:left w:val="single" w:sz="8" w:space="0" w:color="92D050"/>
              <w:bottom w:val="single" w:sz="8" w:space="0" w:color="92D050"/>
            </w:tcBorders>
            <w:shd w:val="clear" w:color="auto" w:fill="auto"/>
          </w:tcPr>
          <w:p w:rsidR="0006774F" w:rsidRPr="000A2C64" w:rsidRDefault="0006774F" w:rsidP="00080090">
            <w:pPr>
              <w:ind w:left="0" w:firstLine="23"/>
              <w:rPr>
                <w:color w:val="37424A"/>
              </w:rPr>
            </w:pPr>
            <w:r>
              <w:rPr>
                <w:color w:val="37424A"/>
              </w:rPr>
              <w:t># 1095952</w:t>
            </w:r>
          </w:p>
        </w:tc>
      </w:tr>
      <w:tr w:rsidR="00E62BC0" w:rsidRPr="00C4065D" w:rsidTr="00E62BC0">
        <w:tc>
          <w:tcPr>
            <w:tcW w:w="6855" w:type="dxa"/>
            <w:tcBorders>
              <w:top w:val="nil"/>
              <w:bottom w:val="single" w:sz="8" w:space="0" w:color="92D050"/>
              <w:right w:val="single" w:sz="8" w:space="0" w:color="92D050"/>
            </w:tcBorders>
            <w:shd w:val="clear" w:color="auto" w:fill="auto"/>
          </w:tcPr>
          <w:p w:rsidR="00E62BC0" w:rsidRDefault="00474FFF" w:rsidP="00474FFF">
            <w:pPr>
              <w:ind w:left="0" w:firstLine="23"/>
              <w:rPr>
                <w:color w:val="37424A"/>
              </w:rPr>
            </w:pPr>
            <w:r>
              <w:rPr>
                <w:color w:val="37424A"/>
              </w:rPr>
              <w:t>Investment Evaluation Framework, Post Completion Evaluation</w:t>
            </w:r>
          </w:p>
        </w:tc>
        <w:tc>
          <w:tcPr>
            <w:tcW w:w="1889" w:type="dxa"/>
            <w:tcBorders>
              <w:top w:val="nil"/>
              <w:left w:val="single" w:sz="8" w:space="0" w:color="92D050"/>
              <w:bottom w:val="single" w:sz="8" w:space="0" w:color="92D050"/>
            </w:tcBorders>
            <w:shd w:val="clear" w:color="auto" w:fill="auto"/>
          </w:tcPr>
          <w:p w:rsidR="00E62BC0" w:rsidRPr="000A2C64" w:rsidRDefault="00E62BC0" w:rsidP="00080090">
            <w:pPr>
              <w:ind w:left="0" w:firstLine="23"/>
              <w:rPr>
                <w:color w:val="37424A"/>
              </w:rPr>
            </w:pPr>
            <w:r w:rsidRPr="000A2C64">
              <w:rPr>
                <w:color w:val="37424A"/>
              </w:rPr>
              <w:t xml:space="preserve"># </w:t>
            </w:r>
            <w:r w:rsidR="00080090">
              <w:rPr>
                <w:color w:val="37424A"/>
              </w:rPr>
              <w:t>2441936</w:t>
            </w:r>
          </w:p>
        </w:tc>
      </w:tr>
      <w:tr w:rsidR="00474FFF" w:rsidRPr="00C4065D" w:rsidTr="00E62BC0">
        <w:tc>
          <w:tcPr>
            <w:tcW w:w="6855" w:type="dxa"/>
            <w:tcBorders>
              <w:top w:val="nil"/>
              <w:bottom w:val="single" w:sz="8" w:space="0" w:color="92D050"/>
              <w:right w:val="single" w:sz="8" w:space="0" w:color="92D050"/>
            </w:tcBorders>
            <w:shd w:val="clear" w:color="auto" w:fill="auto"/>
          </w:tcPr>
          <w:p w:rsidR="00474FFF" w:rsidRDefault="00474FFF" w:rsidP="00E62BC0">
            <w:pPr>
              <w:ind w:left="0" w:firstLine="23"/>
              <w:rPr>
                <w:color w:val="37424A"/>
              </w:rPr>
            </w:pPr>
            <w:r>
              <w:rPr>
                <w:color w:val="37424A"/>
              </w:rPr>
              <w:t>Register of On-roads Trials of New &amp; Innovative Treatments</w:t>
            </w:r>
          </w:p>
        </w:tc>
        <w:tc>
          <w:tcPr>
            <w:tcW w:w="1889" w:type="dxa"/>
            <w:tcBorders>
              <w:top w:val="nil"/>
              <w:left w:val="single" w:sz="8" w:space="0" w:color="92D050"/>
              <w:bottom w:val="single" w:sz="8" w:space="0" w:color="92D050"/>
            </w:tcBorders>
            <w:shd w:val="clear" w:color="auto" w:fill="auto"/>
          </w:tcPr>
          <w:p w:rsidR="00474FFF" w:rsidRPr="000A2C64" w:rsidRDefault="00474FFF" w:rsidP="000E195F">
            <w:pPr>
              <w:ind w:left="0" w:firstLine="23"/>
              <w:rPr>
                <w:color w:val="37424A"/>
              </w:rPr>
            </w:pPr>
            <w:r w:rsidRPr="000A2C64">
              <w:rPr>
                <w:color w:val="37424A"/>
              </w:rPr>
              <w:t xml:space="preserve"># </w:t>
            </w:r>
            <w:r w:rsidR="000E195F">
              <w:rPr>
                <w:color w:val="37424A"/>
              </w:rPr>
              <w:t>2607510</w:t>
            </w:r>
          </w:p>
        </w:tc>
      </w:tr>
      <w:tr w:rsidR="00BE5D5B" w:rsidRPr="00C4065D" w:rsidTr="00E62BC0">
        <w:tc>
          <w:tcPr>
            <w:tcW w:w="6855" w:type="dxa"/>
            <w:tcBorders>
              <w:top w:val="single" w:sz="8" w:space="0" w:color="92D050"/>
              <w:bottom w:val="single" w:sz="18" w:space="0" w:color="92D050"/>
              <w:right w:val="single" w:sz="8" w:space="0" w:color="92D050"/>
            </w:tcBorders>
            <w:shd w:val="clear" w:color="auto" w:fill="auto"/>
          </w:tcPr>
          <w:p w:rsidR="00BE5D5B" w:rsidRPr="00C4065D" w:rsidRDefault="000A2C64" w:rsidP="00402155">
            <w:pPr>
              <w:ind w:left="0" w:firstLine="23"/>
              <w:rPr>
                <w:color w:val="37424A"/>
              </w:rPr>
            </w:pPr>
            <w:r>
              <w:rPr>
                <w:color w:val="37424A"/>
              </w:rPr>
              <w:t xml:space="preserve">Evaluation Record – Conducting On-road Trials of New &amp; Innovative </w:t>
            </w:r>
            <w:r w:rsidR="00C0039C">
              <w:rPr>
                <w:color w:val="37424A"/>
              </w:rPr>
              <w:t>Treatment</w:t>
            </w:r>
            <w:r>
              <w:rPr>
                <w:color w:val="37424A"/>
              </w:rPr>
              <w:t xml:space="preserve">s, Devices and Treatments </w:t>
            </w:r>
          </w:p>
        </w:tc>
        <w:tc>
          <w:tcPr>
            <w:tcW w:w="1889" w:type="dxa"/>
            <w:tcBorders>
              <w:top w:val="single" w:sz="8" w:space="0" w:color="92D050"/>
              <w:left w:val="single" w:sz="8" w:space="0" w:color="92D050"/>
              <w:bottom w:val="single" w:sz="18" w:space="0" w:color="92D050"/>
            </w:tcBorders>
            <w:shd w:val="clear" w:color="auto" w:fill="auto"/>
          </w:tcPr>
          <w:p w:rsidR="00BE5D5B" w:rsidRPr="00C4065D" w:rsidRDefault="000A2C64" w:rsidP="000E195F">
            <w:pPr>
              <w:ind w:left="0" w:firstLine="23"/>
              <w:rPr>
                <w:color w:val="37424A"/>
                <w:highlight w:val="yellow"/>
              </w:rPr>
            </w:pPr>
            <w:r w:rsidRPr="000A2C64">
              <w:rPr>
                <w:color w:val="37424A"/>
              </w:rPr>
              <w:t xml:space="preserve"># </w:t>
            </w:r>
            <w:r w:rsidR="000E195F">
              <w:rPr>
                <w:color w:val="37424A"/>
              </w:rPr>
              <w:t>2634098</w:t>
            </w:r>
          </w:p>
        </w:tc>
      </w:tr>
    </w:tbl>
    <w:p w:rsidR="00FB115A" w:rsidRDefault="00FB115A" w:rsidP="008E36B7">
      <w:pPr>
        <w:pStyle w:val="H3"/>
        <w:numPr>
          <w:ilvl w:val="0"/>
          <w:numId w:val="0"/>
        </w:numPr>
        <w:spacing w:after="0"/>
        <w:ind w:left="720"/>
      </w:pPr>
    </w:p>
    <w:p w:rsidR="004630AA" w:rsidRPr="00C4065D" w:rsidRDefault="004630AA" w:rsidP="003F1F45">
      <w:pPr>
        <w:pStyle w:val="H3"/>
        <w:spacing w:before="0" w:after="120"/>
      </w:pPr>
      <w:r w:rsidRPr="00C4065D">
        <w:t>Contact details</w:t>
      </w:r>
    </w:p>
    <w:p w:rsidR="004630AA" w:rsidRDefault="00513D13" w:rsidP="008E36B7">
      <w:pPr>
        <w:spacing w:after="120"/>
        <w:rPr>
          <w:color w:val="37424A"/>
        </w:rPr>
      </w:pPr>
      <w:r w:rsidRPr="00C4065D">
        <w:rPr>
          <w:color w:val="37424A"/>
        </w:rPr>
        <w:t xml:space="preserve">Questions relating to this policy should be directed to </w:t>
      </w:r>
      <w:r w:rsidR="00C533ED" w:rsidRPr="00C4065D">
        <w:rPr>
          <w:color w:val="37424A"/>
        </w:rPr>
        <w:t>the Manager</w:t>
      </w:r>
      <w:r w:rsidRPr="00C4065D">
        <w:rPr>
          <w:color w:val="37424A"/>
        </w:rPr>
        <w:t xml:space="preserve"> </w:t>
      </w:r>
      <w:r w:rsidR="003F1F45">
        <w:rPr>
          <w:color w:val="37424A"/>
        </w:rPr>
        <w:t xml:space="preserve">Network Standards, </w:t>
      </w:r>
      <w:r w:rsidR="0041243D">
        <w:rPr>
          <w:color w:val="37424A"/>
        </w:rPr>
        <w:t>Network Policy and Standards</w:t>
      </w:r>
      <w:r w:rsidRPr="00C4065D">
        <w:rPr>
          <w:color w:val="37424A"/>
        </w:rPr>
        <w:t>.</w:t>
      </w:r>
    </w:p>
    <w:p w:rsidR="0006774F" w:rsidRDefault="0006774F" w:rsidP="008E36B7">
      <w:pPr>
        <w:spacing w:after="120"/>
        <w:rPr>
          <w:color w:val="37424A"/>
        </w:rPr>
      </w:pPr>
    </w:p>
    <w:p w:rsidR="0006774F" w:rsidRDefault="0006774F" w:rsidP="008E36B7">
      <w:pPr>
        <w:spacing w:after="120"/>
        <w:rPr>
          <w:color w:val="37424A"/>
        </w:rPr>
      </w:pPr>
    </w:p>
    <w:p w:rsidR="0006774F" w:rsidRDefault="0006774F" w:rsidP="008E36B7">
      <w:pPr>
        <w:spacing w:after="120"/>
        <w:rPr>
          <w:color w:val="37424A"/>
        </w:rPr>
      </w:pPr>
    </w:p>
    <w:p w:rsidR="0006774F" w:rsidRDefault="0006774F" w:rsidP="008E36B7">
      <w:pPr>
        <w:spacing w:after="120"/>
        <w:rPr>
          <w:color w:val="37424A"/>
        </w:rPr>
      </w:pPr>
    </w:p>
    <w:p w:rsidR="0039482D" w:rsidRDefault="00812803" w:rsidP="008E36B7">
      <w:pPr>
        <w:pStyle w:val="H3"/>
        <w:spacing w:after="180"/>
      </w:pPr>
      <w:r>
        <w:t>Guideline</w:t>
      </w:r>
      <w:r w:rsidR="0039482D" w:rsidRPr="00C4065D">
        <w:t xml:space="preserve"> Governance Summary</w:t>
      </w:r>
    </w:p>
    <w:tbl>
      <w:tblPr>
        <w:tblW w:w="4561" w:type="pct"/>
        <w:tblInd w:w="817" w:type="dxa"/>
        <w:tblBorders>
          <w:top w:val="single" w:sz="4" w:space="0" w:color="808080"/>
          <w:bottom w:val="single" w:sz="4" w:space="0" w:color="808080"/>
          <w:insideH w:val="single" w:sz="2" w:space="0" w:color="C0C0C0"/>
        </w:tblBorders>
        <w:tblLayout w:type="fixed"/>
        <w:tblLook w:val="0000"/>
      </w:tblPr>
      <w:tblGrid>
        <w:gridCol w:w="1631"/>
        <w:gridCol w:w="1603"/>
        <w:gridCol w:w="3615"/>
        <w:gridCol w:w="1846"/>
        <w:gridCol w:w="37"/>
      </w:tblGrid>
      <w:tr w:rsidR="0039482D" w:rsidRPr="00C4065D" w:rsidTr="00577B39">
        <w:trPr>
          <w:gridAfter w:val="1"/>
          <w:wAfter w:w="21" w:type="pct"/>
          <w:trHeight w:val="495"/>
          <w:tblHeader/>
        </w:trPr>
        <w:tc>
          <w:tcPr>
            <w:tcW w:w="4979" w:type="pct"/>
            <w:gridSpan w:val="4"/>
            <w:tcBorders>
              <w:top w:val="nil"/>
              <w:bottom w:val="nil"/>
            </w:tcBorders>
            <w:shd w:val="clear" w:color="auto" w:fill="8CC63F"/>
            <w:vAlign w:val="center"/>
          </w:tcPr>
          <w:p w:rsidR="0039482D" w:rsidRPr="00C4065D" w:rsidRDefault="00812803" w:rsidP="00DD11FC">
            <w:pPr>
              <w:pStyle w:val="Heading1"/>
              <w:rPr>
                <w:color w:val="FFFFFF" w:themeColor="background1"/>
              </w:rPr>
            </w:pPr>
            <w:r>
              <w:rPr>
                <w:color w:val="FFFFFF" w:themeColor="background1"/>
              </w:rPr>
              <w:t>Gu</w:t>
            </w:r>
            <w:r w:rsidR="006F4013">
              <w:rPr>
                <w:color w:val="FFFFFF" w:themeColor="background1"/>
              </w:rPr>
              <w:t>ide</w:t>
            </w:r>
            <w:r>
              <w:rPr>
                <w:color w:val="FFFFFF" w:themeColor="background1"/>
              </w:rPr>
              <w:t>line</w:t>
            </w:r>
            <w:r w:rsidR="0039482D" w:rsidRPr="00C4065D">
              <w:rPr>
                <w:color w:val="FFFFFF" w:themeColor="background1"/>
              </w:rPr>
              <w:t xml:space="preserve"> Ownership and Approval Record</w:t>
            </w:r>
          </w:p>
        </w:tc>
      </w:tr>
      <w:tr w:rsidR="00577B39" w:rsidRPr="00C4065D" w:rsidTr="00577B39">
        <w:trPr>
          <w:gridAfter w:val="1"/>
          <w:wAfter w:w="21" w:type="pct"/>
          <w:trHeight w:val="400"/>
        </w:trPr>
        <w:tc>
          <w:tcPr>
            <w:tcW w:w="4979" w:type="pct"/>
            <w:gridSpan w:val="4"/>
            <w:tcBorders>
              <w:top w:val="nil"/>
              <w:left w:val="nil"/>
              <w:bottom w:val="single" w:sz="8" w:space="0" w:color="92D050"/>
              <w:right w:val="single" w:sz="8" w:space="0" w:color="92D050"/>
            </w:tcBorders>
            <w:shd w:val="clear" w:color="auto" w:fill="auto"/>
          </w:tcPr>
          <w:p w:rsidR="00577B39" w:rsidRPr="00C4065D" w:rsidRDefault="00577B39" w:rsidP="00577B39">
            <w:pPr>
              <w:pStyle w:val="Tabletext"/>
              <w:ind w:left="34"/>
              <w:rPr>
                <w:color w:val="37424A"/>
                <w:szCs w:val="18"/>
              </w:rPr>
            </w:pPr>
            <w:r w:rsidRPr="00C4065D">
              <w:rPr>
                <w:color w:val="37424A"/>
              </w:rPr>
              <w:t>Business Area Owner</w:t>
            </w:r>
            <w:r>
              <w:rPr>
                <w:color w:val="37424A"/>
              </w:rPr>
              <w:t xml:space="preserve">: </w:t>
            </w:r>
            <w:r w:rsidRPr="00C4065D">
              <w:rPr>
                <w:color w:val="37424A"/>
              </w:rPr>
              <w:t>Policy and Programs</w:t>
            </w:r>
          </w:p>
        </w:tc>
      </w:tr>
      <w:tr w:rsidR="0039482D" w:rsidRPr="00C4065D" w:rsidTr="00577B39">
        <w:trPr>
          <w:gridAfter w:val="1"/>
          <w:wAfter w:w="21" w:type="pct"/>
          <w:trHeight w:val="400"/>
        </w:trPr>
        <w:tc>
          <w:tcPr>
            <w:tcW w:w="934" w:type="pct"/>
            <w:vMerge w:val="restart"/>
            <w:tcBorders>
              <w:top w:val="single" w:sz="8" w:space="0" w:color="92D050"/>
              <w:left w:val="nil"/>
              <w:bottom w:val="single" w:sz="8" w:space="0" w:color="92D050"/>
              <w:right w:val="single" w:sz="8" w:space="0" w:color="92D050"/>
            </w:tcBorders>
            <w:shd w:val="clear" w:color="auto" w:fill="auto"/>
          </w:tcPr>
          <w:p w:rsidR="0039482D" w:rsidRPr="00C4065D" w:rsidRDefault="0039482D" w:rsidP="00F174ED">
            <w:pPr>
              <w:pStyle w:val="H2"/>
              <w:ind w:hanging="34"/>
            </w:pPr>
            <w:r w:rsidRPr="00C4065D">
              <w:t>Approval</w:t>
            </w:r>
          </w:p>
          <w:p w:rsidR="0039482D" w:rsidRPr="00C4065D" w:rsidRDefault="00BC4620" w:rsidP="00F23B67">
            <w:pPr>
              <w:pStyle w:val="Tabletext"/>
              <w:ind w:left="34" w:hanging="34"/>
              <w:rPr>
                <w:color w:val="37424A"/>
              </w:rPr>
            </w:pPr>
            <w:r>
              <w:pict>
                <v:shape id="_x0000_i1025" type="#_x0000_t75" alt="Signiture of J Burdon" style="width:71.15pt;height:36pt">
                  <v:imagedata r:id="rId10" o:title="JBurdan" croptop="4565f" cropbottom="57315f" cropleft="30045f" cropright="25521f"/>
                </v:shape>
              </w:pict>
            </w:r>
            <w:r>
              <w:pict>
                <v:shape id="_x0000_i1026" type="#_x0000_t75" alt="A Wall signature" style="width:71.15pt;height:35.15pt">
                  <v:imagedata r:id="rId11" o:title="AWall signature"/>
                </v:shape>
              </w:pict>
            </w:r>
          </w:p>
        </w:tc>
        <w:tc>
          <w:tcPr>
            <w:tcW w:w="918" w:type="pct"/>
            <w:tcBorders>
              <w:top w:val="single" w:sz="8" w:space="0" w:color="92D050"/>
              <w:left w:val="single" w:sz="8" w:space="0" w:color="92D050"/>
              <w:bottom w:val="single" w:sz="8" w:space="0" w:color="92D050"/>
              <w:right w:val="single" w:sz="8" w:space="0" w:color="92D050"/>
            </w:tcBorders>
            <w:shd w:val="clear" w:color="auto" w:fill="auto"/>
          </w:tcPr>
          <w:p w:rsidR="0039482D" w:rsidRPr="00C4065D" w:rsidRDefault="0039482D" w:rsidP="00F174ED">
            <w:pPr>
              <w:pStyle w:val="Heading1"/>
              <w:ind w:hanging="34"/>
            </w:pPr>
            <w:r w:rsidRPr="00C4065D">
              <w:t>Action</w:t>
            </w:r>
          </w:p>
        </w:tc>
        <w:tc>
          <w:tcPr>
            <w:tcW w:w="2070" w:type="pct"/>
            <w:tcBorders>
              <w:top w:val="single" w:sz="8" w:space="0" w:color="92D050"/>
              <w:left w:val="single" w:sz="8" w:space="0" w:color="92D050"/>
              <w:bottom w:val="single" w:sz="8" w:space="0" w:color="92D050"/>
              <w:right w:val="single" w:sz="8" w:space="0" w:color="92D050"/>
            </w:tcBorders>
            <w:shd w:val="clear" w:color="auto" w:fill="auto"/>
          </w:tcPr>
          <w:p w:rsidR="0039482D" w:rsidRPr="00C4065D" w:rsidRDefault="0039482D" w:rsidP="00F174ED">
            <w:pPr>
              <w:pStyle w:val="Heading1"/>
              <w:ind w:hanging="34"/>
            </w:pPr>
            <w:r w:rsidRPr="00C4065D">
              <w:t>Position</w:t>
            </w:r>
          </w:p>
        </w:tc>
        <w:tc>
          <w:tcPr>
            <w:tcW w:w="1057" w:type="pct"/>
            <w:tcBorders>
              <w:top w:val="single" w:sz="8" w:space="0" w:color="92D050"/>
              <w:left w:val="single" w:sz="8" w:space="0" w:color="92D050"/>
              <w:bottom w:val="single" w:sz="8" w:space="0" w:color="92D050"/>
              <w:right w:val="nil"/>
            </w:tcBorders>
            <w:shd w:val="clear" w:color="auto" w:fill="auto"/>
          </w:tcPr>
          <w:p w:rsidR="0039482D" w:rsidRPr="00C4065D" w:rsidRDefault="0039482D" w:rsidP="00F174ED">
            <w:pPr>
              <w:pStyle w:val="Heading1"/>
              <w:ind w:hanging="34"/>
            </w:pPr>
            <w:r w:rsidRPr="00C4065D">
              <w:t>Date</w:t>
            </w:r>
          </w:p>
        </w:tc>
      </w:tr>
      <w:tr w:rsidR="00691B71" w:rsidRPr="00C4065D" w:rsidTr="00577B39">
        <w:trPr>
          <w:gridAfter w:val="1"/>
          <w:wAfter w:w="21" w:type="pct"/>
          <w:trHeight w:val="601"/>
        </w:trPr>
        <w:tc>
          <w:tcPr>
            <w:tcW w:w="934" w:type="pct"/>
            <w:vMerge/>
            <w:tcBorders>
              <w:top w:val="single" w:sz="8" w:space="0" w:color="92D050"/>
              <w:left w:val="nil"/>
              <w:bottom w:val="single" w:sz="8" w:space="0" w:color="92D050"/>
              <w:right w:val="single" w:sz="8" w:space="0" w:color="92D050"/>
            </w:tcBorders>
            <w:shd w:val="clear" w:color="auto" w:fill="auto"/>
          </w:tcPr>
          <w:p w:rsidR="00691B71" w:rsidRPr="00C4065D" w:rsidRDefault="00691B71" w:rsidP="00F174ED">
            <w:pPr>
              <w:pStyle w:val="Tabletext"/>
              <w:ind w:left="34" w:hanging="34"/>
              <w:rPr>
                <w:color w:val="37424A"/>
              </w:rPr>
            </w:pPr>
          </w:p>
        </w:tc>
        <w:tc>
          <w:tcPr>
            <w:tcW w:w="918" w:type="pct"/>
            <w:tcBorders>
              <w:top w:val="single" w:sz="8" w:space="0" w:color="92D050"/>
              <w:left w:val="single" w:sz="8" w:space="0" w:color="92D050"/>
              <w:bottom w:val="single" w:sz="8" w:space="0" w:color="92D050"/>
              <w:right w:val="single" w:sz="8" w:space="0" w:color="92D050"/>
            </w:tcBorders>
            <w:shd w:val="clear" w:color="auto" w:fill="auto"/>
          </w:tcPr>
          <w:p w:rsidR="00691B71" w:rsidRDefault="00691B71" w:rsidP="001670DC">
            <w:pPr>
              <w:ind w:left="34"/>
              <w:jc w:val="center"/>
              <w:rPr>
                <w:color w:val="37424A"/>
              </w:rPr>
            </w:pPr>
            <w:r>
              <w:rPr>
                <w:color w:val="37424A"/>
              </w:rPr>
              <w:t>Recommend</w:t>
            </w:r>
          </w:p>
        </w:tc>
        <w:tc>
          <w:tcPr>
            <w:tcW w:w="2070" w:type="pct"/>
            <w:tcBorders>
              <w:top w:val="single" w:sz="8" w:space="0" w:color="92D050"/>
              <w:left w:val="single" w:sz="8" w:space="0" w:color="92D050"/>
              <w:bottom w:val="single" w:sz="8" w:space="0" w:color="92D050"/>
              <w:right w:val="single" w:sz="8" w:space="0" w:color="92D050"/>
            </w:tcBorders>
            <w:shd w:val="clear" w:color="auto" w:fill="auto"/>
          </w:tcPr>
          <w:p w:rsidR="00691B71" w:rsidRDefault="00691B71" w:rsidP="000A2C64">
            <w:pPr>
              <w:ind w:left="34"/>
              <w:jc w:val="left"/>
              <w:rPr>
                <w:color w:val="37424A"/>
              </w:rPr>
            </w:pPr>
            <w:r>
              <w:rPr>
                <w:color w:val="37424A"/>
              </w:rPr>
              <w:t>Manager Network Standards</w:t>
            </w:r>
          </w:p>
        </w:tc>
        <w:tc>
          <w:tcPr>
            <w:tcW w:w="1057" w:type="pct"/>
            <w:tcBorders>
              <w:top w:val="single" w:sz="8" w:space="0" w:color="92D050"/>
              <w:left w:val="single" w:sz="8" w:space="0" w:color="92D050"/>
              <w:bottom w:val="single" w:sz="8" w:space="0" w:color="92D050"/>
              <w:right w:val="nil"/>
            </w:tcBorders>
            <w:shd w:val="clear" w:color="auto" w:fill="auto"/>
          </w:tcPr>
          <w:p w:rsidR="00691B71" w:rsidRDefault="000E195F" w:rsidP="00A27423">
            <w:pPr>
              <w:ind w:left="34"/>
              <w:jc w:val="center"/>
              <w:rPr>
                <w:color w:val="37424A"/>
              </w:rPr>
            </w:pPr>
            <w:r>
              <w:rPr>
                <w:color w:val="37424A"/>
              </w:rPr>
              <w:t>2</w:t>
            </w:r>
            <w:r w:rsidR="00A27423">
              <w:rPr>
                <w:color w:val="37424A"/>
              </w:rPr>
              <w:t>6</w:t>
            </w:r>
            <w:r w:rsidR="00691B71">
              <w:rPr>
                <w:color w:val="37424A"/>
              </w:rPr>
              <w:t>/</w:t>
            </w:r>
            <w:r>
              <w:rPr>
                <w:color w:val="37424A"/>
              </w:rPr>
              <w:t>08</w:t>
            </w:r>
            <w:r w:rsidR="00691B71">
              <w:rPr>
                <w:color w:val="37424A"/>
              </w:rPr>
              <w:t>/</w:t>
            </w:r>
            <w:r>
              <w:rPr>
                <w:color w:val="37424A"/>
              </w:rPr>
              <w:t>2014</w:t>
            </w:r>
          </w:p>
        </w:tc>
      </w:tr>
      <w:tr w:rsidR="0039482D" w:rsidRPr="00C4065D" w:rsidTr="00577B39">
        <w:trPr>
          <w:gridAfter w:val="1"/>
          <w:wAfter w:w="21" w:type="pct"/>
          <w:trHeight w:val="601"/>
        </w:trPr>
        <w:tc>
          <w:tcPr>
            <w:tcW w:w="934" w:type="pct"/>
            <w:vMerge/>
            <w:tcBorders>
              <w:top w:val="single" w:sz="8" w:space="0" w:color="92D050"/>
              <w:left w:val="nil"/>
              <w:bottom w:val="single" w:sz="8" w:space="0" w:color="92D050"/>
              <w:right w:val="single" w:sz="8" w:space="0" w:color="92D050"/>
            </w:tcBorders>
            <w:shd w:val="clear" w:color="auto" w:fill="auto"/>
          </w:tcPr>
          <w:p w:rsidR="0039482D" w:rsidRPr="00C4065D" w:rsidRDefault="0039482D" w:rsidP="00F174ED">
            <w:pPr>
              <w:pStyle w:val="Tabletext"/>
              <w:ind w:left="34" w:hanging="34"/>
              <w:rPr>
                <w:color w:val="37424A"/>
              </w:rPr>
            </w:pPr>
          </w:p>
        </w:tc>
        <w:tc>
          <w:tcPr>
            <w:tcW w:w="918" w:type="pct"/>
            <w:tcBorders>
              <w:top w:val="single" w:sz="8" w:space="0" w:color="92D050"/>
              <w:left w:val="single" w:sz="8" w:space="0" w:color="92D050"/>
              <w:bottom w:val="single" w:sz="8" w:space="0" w:color="92D050"/>
              <w:right w:val="single" w:sz="8" w:space="0" w:color="92D050"/>
            </w:tcBorders>
            <w:shd w:val="clear" w:color="auto" w:fill="auto"/>
          </w:tcPr>
          <w:p w:rsidR="0039482D" w:rsidRPr="00C4065D" w:rsidRDefault="00812803" w:rsidP="001670DC">
            <w:pPr>
              <w:ind w:left="34"/>
              <w:jc w:val="center"/>
              <w:rPr>
                <w:color w:val="37424A"/>
              </w:rPr>
            </w:pPr>
            <w:r>
              <w:rPr>
                <w:color w:val="37424A"/>
              </w:rPr>
              <w:t>Approve</w:t>
            </w:r>
            <w:r w:rsidR="003E5D1C">
              <w:rPr>
                <w:color w:val="37424A"/>
              </w:rPr>
              <w:t>d</w:t>
            </w:r>
          </w:p>
        </w:tc>
        <w:tc>
          <w:tcPr>
            <w:tcW w:w="2070" w:type="pct"/>
            <w:tcBorders>
              <w:top w:val="single" w:sz="8" w:space="0" w:color="92D050"/>
              <w:left w:val="single" w:sz="8" w:space="0" w:color="92D050"/>
              <w:bottom w:val="single" w:sz="8" w:space="0" w:color="92D050"/>
              <w:right w:val="single" w:sz="8" w:space="0" w:color="92D050"/>
            </w:tcBorders>
            <w:shd w:val="clear" w:color="auto" w:fill="auto"/>
          </w:tcPr>
          <w:p w:rsidR="0039482D" w:rsidRPr="00C4065D" w:rsidRDefault="00303AFD" w:rsidP="000A2C64">
            <w:pPr>
              <w:ind w:left="34"/>
              <w:jc w:val="left"/>
              <w:rPr>
                <w:color w:val="37424A"/>
              </w:rPr>
            </w:pPr>
            <w:r w:rsidRPr="00C4065D">
              <w:rPr>
                <w:color w:val="37424A"/>
              </w:rPr>
              <w:t>Director Network Policy &amp; Standards</w:t>
            </w:r>
          </w:p>
        </w:tc>
        <w:tc>
          <w:tcPr>
            <w:tcW w:w="1057" w:type="pct"/>
            <w:tcBorders>
              <w:top w:val="single" w:sz="8" w:space="0" w:color="92D050"/>
              <w:left w:val="single" w:sz="8" w:space="0" w:color="92D050"/>
              <w:bottom w:val="single" w:sz="8" w:space="0" w:color="92D050"/>
              <w:right w:val="nil"/>
            </w:tcBorders>
            <w:shd w:val="clear" w:color="auto" w:fill="auto"/>
          </w:tcPr>
          <w:p w:rsidR="0039482D" w:rsidRPr="00C4065D" w:rsidRDefault="000E195F" w:rsidP="00A27423">
            <w:pPr>
              <w:ind w:left="34"/>
              <w:jc w:val="center"/>
              <w:rPr>
                <w:color w:val="37424A"/>
              </w:rPr>
            </w:pPr>
            <w:r>
              <w:rPr>
                <w:color w:val="37424A"/>
              </w:rPr>
              <w:t>2</w:t>
            </w:r>
            <w:r w:rsidR="00A27423">
              <w:rPr>
                <w:color w:val="37424A"/>
              </w:rPr>
              <w:t>6</w:t>
            </w:r>
            <w:r w:rsidR="00A21245">
              <w:rPr>
                <w:color w:val="37424A"/>
              </w:rPr>
              <w:t>/</w:t>
            </w:r>
            <w:r>
              <w:rPr>
                <w:color w:val="37424A"/>
              </w:rPr>
              <w:t>08</w:t>
            </w:r>
            <w:r w:rsidR="00A21245">
              <w:rPr>
                <w:color w:val="37424A"/>
              </w:rPr>
              <w:t>/</w:t>
            </w:r>
            <w:r>
              <w:rPr>
                <w:color w:val="37424A"/>
              </w:rPr>
              <w:t>2014</w:t>
            </w:r>
          </w:p>
        </w:tc>
      </w:tr>
      <w:tr w:rsidR="00691B71" w:rsidRPr="00C4065D" w:rsidTr="00577B39">
        <w:trPr>
          <w:gridAfter w:val="1"/>
          <w:wAfter w:w="21" w:type="pct"/>
          <w:trHeight w:val="413"/>
        </w:trPr>
        <w:tc>
          <w:tcPr>
            <w:tcW w:w="934" w:type="pct"/>
            <w:tcBorders>
              <w:top w:val="single" w:sz="8" w:space="0" w:color="92D050"/>
              <w:left w:val="nil"/>
              <w:bottom w:val="nil"/>
              <w:right w:val="single" w:sz="8" w:space="0" w:color="92D050"/>
            </w:tcBorders>
            <w:shd w:val="clear" w:color="auto" w:fill="auto"/>
          </w:tcPr>
          <w:p w:rsidR="00691B71" w:rsidRPr="00C4065D" w:rsidRDefault="00691B71" w:rsidP="00F174ED">
            <w:pPr>
              <w:pStyle w:val="H2"/>
              <w:ind w:hanging="34"/>
            </w:pPr>
            <w:r>
              <w:t>Date of Effect</w:t>
            </w:r>
          </w:p>
        </w:tc>
        <w:tc>
          <w:tcPr>
            <w:tcW w:w="4045" w:type="pct"/>
            <w:gridSpan w:val="3"/>
            <w:tcBorders>
              <w:top w:val="single" w:sz="8" w:space="0" w:color="92D050"/>
              <w:left w:val="single" w:sz="8" w:space="0" w:color="92D050"/>
              <w:bottom w:val="nil"/>
              <w:right w:val="nil"/>
            </w:tcBorders>
            <w:shd w:val="clear" w:color="auto" w:fill="auto"/>
          </w:tcPr>
          <w:p w:rsidR="00691B71" w:rsidRPr="00C4065D" w:rsidRDefault="006057D1" w:rsidP="00215819">
            <w:pPr>
              <w:ind w:left="34"/>
              <w:rPr>
                <w:color w:val="37424A"/>
              </w:rPr>
            </w:pPr>
            <w:r>
              <w:rPr>
                <w:color w:val="37424A"/>
              </w:rPr>
              <w:t>This guidelines will take effect upon approval</w:t>
            </w:r>
          </w:p>
        </w:tc>
      </w:tr>
      <w:tr w:rsidR="000A2C64" w:rsidRPr="00C4065D" w:rsidTr="00577B39">
        <w:tblPrEx>
          <w:tblBorders>
            <w:top w:val="none" w:sz="0" w:space="0" w:color="auto"/>
            <w:bottom w:val="none" w:sz="0" w:space="0" w:color="auto"/>
            <w:insideH w:val="none" w:sz="0" w:space="0" w:color="auto"/>
          </w:tblBorders>
          <w:tblLook w:val="01E0"/>
        </w:tblPrEx>
        <w:trPr>
          <w:trHeight w:val="433"/>
        </w:trPr>
        <w:tc>
          <w:tcPr>
            <w:tcW w:w="934" w:type="pct"/>
            <w:tcBorders>
              <w:top w:val="single" w:sz="8" w:space="0" w:color="92D050"/>
              <w:bottom w:val="single" w:sz="18" w:space="0" w:color="92D050"/>
              <w:right w:val="single" w:sz="8" w:space="0" w:color="92D050"/>
            </w:tcBorders>
            <w:shd w:val="clear" w:color="auto" w:fill="auto"/>
          </w:tcPr>
          <w:p w:rsidR="000A2C64" w:rsidRPr="00C4065D" w:rsidRDefault="000A2C64" w:rsidP="000A2C64">
            <w:pPr>
              <w:pStyle w:val="H2"/>
              <w:ind w:hanging="34"/>
            </w:pPr>
            <w:r w:rsidRPr="00C4065D">
              <w:t>Version No.</w:t>
            </w:r>
          </w:p>
        </w:tc>
        <w:tc>
          <w:tcPr>
            <w:tcW w:w="4066" w:type="pct"/>
            <w:gridSpan w:val="4"/>
            <w:tcBorders>
              <w:top w:val="single" w:sz="8" w:space="0" w:color="92D050"/>
              <w:left w:val="single" w:sz="8" w:space="0" w:color="92D050"/>
              <w:bottom w:val="single" w:sz="18" w:space="0" w:color="92D050"/>
            </w:tcBorders>
            <w:shd w:val="clear" w:color="auto" w:fill="auto"/>
          </w:tcPr>
          <w:p w:rsidR="000A2C64" w:rsidRPr="00C4065D" w:rsidRDefault="000A2C64" w:rsidP="000A2C64">
            <w:pPr>
              <w:ind w:left="34"/>
              <w:rPr>
                <w:color w:val="37424A"/>
              </w:rPr>
            </w:pPr>
            <w:r w:rsidRPr="00C4065D">
              <w:rPr>
                <w:color w:val="37424A"/>
              </w:rPr>
              <w:t>1</w:t>
            </w:r>
          </w:p>
        </w:tc>
      </w:tr>
    </w:tbl>
    <w:p w:rsidR="008E19DE" w:rsidRDefault="008E19DE" w:rsidP="009619DE"/>
    <w:p w:rsidR="008E19DE" w:rsidRDefault="008E19DE" w:rsidP="009619DE"/>
    <w:p w:rsidR="00381FD3" w:rsidRDefault="00381FD3" w:rsidP="009619DE"/>
    <w:p w:rsidR="00381FD3" w:rsidRDefault="00381FD3" w:rsidP="009619DE">
      <w:pPr>
        <w:sectPr w:rsidR="00381FD3" w:rsidSect="006E7036">
          <w:footerReference w:type="default" r:id="rId12"/>
          <w:pgSz w:w="11906" w:h="16838"/>
          <w:pgMar w:top="1418" w:right="1416" w:bottom="284" w:left="1134" w:header="709" w:footer="223" w:gutter="0"/>
          <w:cols w:space="708"/>
          <w:docGrid w:linePitch="360"/>
        </w:sectPr>
      </w:pPr>
    </w:p>
    <w:p w:rsidR="008E19DE" w:rsidRPr="00A86467" w:rsidRDefault="008E19DE" w:rsidP="008E19DE">
      <w:pPr>
        <w:spacing w:after="240"/>
        <w:ind w:left="0" w:right="284"/>
        <w:rPr>
          <w:b/>
          <w:color w:val="37424A"/>
          <w:sz w:val="22"/>
          <w:szCs w:val="22"/>
        </w:rPr>
      </w:pPr>
      <w:r>
        <w:rPr>
          <w:b/>
          <w:color w:val="37424A"/>
          <w:sz w:val="22"/>
          <w:szCs w:val="22"/>
        </w:rPr>
        <w:lastRenderedPageBreak/>
        <w:t xml:space="preserve">Attachment A: </w:t>
      </w:r>
      <w:r w:rsidRPr="00A86467">
        <w:rPr>
          <w:b/>
          <w:sz w:val="22"/>
          <w:szCs w:val="22"/>
        </w:rPr>
        <w:t xml:space="preserve">Process Diagram for </w:t>
      </w:r>
      <w:r>
        <w:rPr>
          <w:b/>
          <w:sz w:val="22"/>
          <w:szCs w:val="22"/>
        </w:rPr>
        <w:t xml:space="preserve">On-road </w:t>
      </w:r>
      <w:r w:rsidRPr="00A86467">
        <w:rPr>
          <w:b/>
          <w:sz w:val="22"/>
          <w:szCs w:val="22"/>
        </w:rPr>
        <w:t>Trial</w:t>
      </w:r>
      <w:r>
        <w:rPr>
          <w:b/>
          <w:sz w:val="22"/>
          <w:szCs w:val="22"/>
        </w:rPr>
        <w:t>s of</w:t>
      </w:r>
      <w:r w:rsidRPr="00A86467">
        <w:rPr>
          <w:b/>
          <w:sz w:val="22"/>
          <w:szCs w:val="22"/>
        </w:rPr>
        <w:t xml:space="preserve"> New </w:t>
      </w:r>
      <w:r>
        <w:rPr>
          <w:b/>
          <w:sz w:val="22"/>
          <w:szCs w:val="22"/>
        </w:rPr>
        <w:t>and</w:t>
      </w:r>
      <w:r w:rsidRPr="00A86467">
        <w:rPr>
          <w:b/>
          <w:sz w:val="22"/>
          <w:szCs w:val="22"/>
        </w:rPr>
        <w:t xml:space="preserve"> Innovative </w:t>
      </w:r>
      <w:r>
        <w:rPr>
          <w:b/>
          <w:sz w:val="22"/>
          <w:szCs w:val="22"/>
        </w:rPr>
        <w:t>Treatment</w:t>
      </w:r>
      <w:r w:rsidRPr="00A86467">
        <w:rPr>
          <w:b/>
          <w:sz w:val="22"/>
          <w:szCs w:val="22"/>
        </w:rPr>
        <w:t>s</w:t>
      </w:r>
    </w:p>
    <w:p w:rsidR="008E19DE" w:rsidRDefault="00BC4620" w:rsidP="00F5135D">
      <w:pPr>
        <w:ind w:left="0"/>
      </w:pPr>
      <w:r>
        <w:pict>
          <v:shape id="_x0000_i1027" type="#_x0000_t75" alt="Flow chart showing the process for on-road trials of new and innovative treatments" style="width:1037.3pt;height:689.85pt">
            <v:imagedata r:id="rId13" o:title="Attachment A"/>
          </v:shape>
        </w:pict>
      </w:r>
    </w:p>
    <w:p w:rsidR="008E19DE" w:rsidRDefault="008E19DE" w:rsidP="00FB167E">
      <w:pPr>
        <w:spacing w:before="0" w:after="0"/>
        <w:ind w:left="0"/>
        <w:sectPr w:rsidR="008E19DE" w:rsidSect="00092E87">
          <w:pgSz w:w="23814" w:h="16839" w:orient="landscape" w:code="8"/>
          <w:pgMar w:top="1134" w:right="1418" w:bottom="993" w:left="1134" w:header="709" w:footer="223" w:gutter="0"/>
          <w:cols w:space="708"/>
          <w:docGrid w:linePitch="360"/>
        </w:sectPr>
      </w:pPr>
    </w:p>
    <w:p w:rsidR="003641F8" w:rsidRPr="003641F8" w:rsidRDefault="006A4BA9" w:rsidP="009619DE">
      <w:pPr>
        <w:rPr>
          <w:b/>
          <w:sz w:val="22"/>
          <w:szCs w:val="22"/>
        </w:rPr>
      </w:pPr>
      <w:r>
        <w:rPr>
          <w:b/>
          <w:color w:val="37424A"/>
          <w:sz w:val="22"/>
          <w:szCs w:val="22"/>
        </w:rPr>
        <w:lastRenderedPageBreak/>
        <w:t xml:space="preserve">Attachment </w:t>
      </w:r>
      <w:r w:rsidR="008E19DE">
        <w:rPr>
          <w:b/>
          <w:color w:val="37424A"/>
          <w:sz w:val="22"/>
          <w:szCs w:val="22"/>
        </w:rPr>
        <w:t>B</w:t>
      </w:r>
      <w:r>
        <w:rPr>
          <w:b/>
          <w:color w:val="37424A"/>
          <w:sz w:val="22"/>
          <w:szCs w:val="22"/>
        </w:rPr>
        <w:t xml:space="preserve">: </w:t>
      </w:r>
      <w:proofErr w:type="gramStart"/>
      <w:r w:rsidR="003641F8" w:rsidRPr="003641F8">
        <w:rPr>
          <w:b/>
          <w:sz w:val="22"/>
          <w:szCs w:val="22"/>
        </w:rPr>
        <w:t>ITS</w:t>
      </w:r>
      <w:proofErr w:type="gramEnd"/>
      <w:r w:rsidR="003641F8" w:rsidRPr="003641F8">
        <w:rPr>
          <w:b/>
          <w:sz w:val="22"/>
          <w:szCs w:val="22"/>
        </w:rPr>
        <w:t xml:space="preserve"> </w:t>
      </w:r>
      <w:r w:rsidR="007244BB">
        <w:rPr>
          <w:b/>
          <w:sz w:val="22"/>
          <w:szCs w:val="22"/>
        </w:rPr>
        <w:t>Type Approval Process</w:t>
      </w:r>
    </w:p>
    <w:p w:rsidR="003641F8" w:rsidRDefault="003641F8" w:rsidP="003641F8">
      <w:pPr>
        <w:spacing w:after="0"/>
      </w:pPr>
    </w:p>
    <w:p w:rsidR="003641F8" w:rsidRDefault="003641F8" w:rsidP="00AC3AD9">
      <w:pPr>
        <w:spacing w:after="120"/>
      </w:pPr>
      <w:r>
        <w:t xml:space="preserve">Intelligent transport system (ITS) products typically are subject to a </w:t>
      </w:r>
      <w:r w:rsidRPr="007F26A9">
        <w:rPr>
          <w:i/>
        </w:rPr>
        <w:t>type approval</w:t>
      </w:r>
      <w:r>
        <w:t xml:space="preserve"> process. </w:t>
      </w:r>
    </w:p>
    <w:p w:rsidR="009564D3" w:rsidRDefault="009564D3" w:rsidP="009564D3">
      <w:pPr>
        <w:spacing w:after="120"/>
      </w:pPr>
      <w:r>
        <w:t xml:space="preserve">The type approval process in VicRoads is currently managed by the Product Acceptance Committee that is coordinated by Road Operations, ITS Infrastructure and Systems. </w:t>
      </w:r>
    </w:p>
    <w:p w:rsidR="003641F8" w:rsidRDefault="003641F8" w:rsidP="006A4BA9">
      <w:r>
        <w:t>New and innovative ITS products fall into one of the following categories:</w:t>
      </w:r>
    </w:p>
    <w:p w:rsidR="003641F8" w:rsidRDefault="003641F8" w:rsidP="00A727C6">
      <w:pPr>
        <w:numPr>
          <w:ilvl w:val="0"/>
          <w:numId w:val="2"/>
        </w:numPr>
      </w:pPr>
      <w:r>
        <w:t>Those for which there is a current specification</w:t>
      </w:r>
    </w:p>
    <w:p w:rsidR="003641F8" w:rsidRDefault="003641F8" w:rsidP="00A727C6">
      <w:pPr>
        <w:numPr>
          <w:ilvl w:val="0"/>
          <w:numId w:val="2"/>
        </w:numPr>
      </w:pPr>
      <w:r>
        <w:t>Those for which there is no current relevant specification</w:t>
      </w:r>
    </w:p>
    <w:p w:rsidR="003641F8" w:rsidRDefault="003641F8" w:rsidP="00A727C6">
      <w:pPr>
        <w:numPr>
          <w:ilvl w:val="0"/>
          <w:numId w:val="2"/>
        </w:numPr>
        <w:spacing w:after="120"/>
        <w:ind w:hanging="357"/>
      </w:pPr>
      <w:r>
        <w:t>Those that may satisfy the performance criteria of a current specification but not other requirements</w:t>
      </w:r>
      <w:r w:rsidR="00AC3AD9">
        <w:t>.</w:t>
      </w:r>
    </w:p>
    <w:p w:rsidR="003641F8" w:rsidRDefault="003641F8" w:rsidP="00AC3AD9">
      <w:pPr>
        <w:spacing w:after="120"/>
      </w:pPr>
      <w:r>
        <w:t xml:space="preserve">A product that falls within the first category is assessed to ensure that it complies with all requirements of the relevant specification </w:t>
      </w:r>
      <w:r w:rsidR="00933772">
        <w:t xml:space="preserve">and Australian Standard </w:t>
      </w:r>
      <w:r>
        <w:t>and, if so, a field evaluation (if required) may proceed. Type approval would be issued subject to successful completion of the field evaluation.</w:t>
      </w:r>
    </w:p>
    <w:p w:rsidR="003641F8" w:rsidRDefault="003641F8" w:rsidP="00AC3AD9">
      <w:pPr>
        <w:spacing w:after="120"/>
      </w:pPr>
      <w:r>
        <w:t xml:space="preserve">ITS products that fall within the other categories are subject to a comprehensive assessment in the pre-trial phase to ensure compliance with relevant standards and regulatory requirements and to assess whether the product is likely to satisfy performance requirements, including compatibility with existing systems. </w:t>
      </w:r>
    </w:p>
    <w:p w:rsidR="003641F8" w:rsidRDefault="003641F8" w:rsidP="00AC3AD9">
      <w:pPr>
        <w:spacing w:after="120"/>
      </w:pPr>
      <w:r>
        <w:t xml:space="preserve">An </w:t>
      </w:r>
      <w:proofErr w:type="spellStart"/>
      <w:r>
        <w:t>Austroads</w:t>
      </w:r>
      <w:proofErr w:type="spellEnd"/>
      <w:r>
        <w:t xml:space="preserve"> project</w:t>
      </w:r>
      <w:r>
        <w:rPr>
          <w:rStyle w:val="FootnoteReference"/>
        </w:rPr>
        <w:footnoteReference w:id="3"/>
      </w:r>
      <w:r>
        <w:t xml:space="preserve"> that aims to develop a harmonised national product acceptance process for ITS products is currently in progress. It is intended that VicRoads will review and amend its current process to complement the national approach once the </w:t>
      </w:r>
      <w:proofErr w:type="spellStart"/>
      <w:r>
        <w:t>Austroads</w:t>
      </w:r>
      <w:proofErr w:type="spellEnd"/>
      <w:r>
        <w:t xml:space="preserve"> project has been completed. </w:t>
      </w:r>
    </w:p>
    <w:p w:rsidR="003641F8" w:rsidRDefault="003641F8" w:rsidP="00AC3AD9">
      <w:r>
        <w:t xml:space="preserve">The proposed </w:t>
      </w:r>
      <w:proofErr w:type="spellStart"/>
      <w:r>
        <w:t>Austroads</w:t>
      </w:r>
      <w:proofErr w:type="spellEnd"/>
      <w:r>
        <w:t xml:space="preserve"> product acceptance process consists of the following steps:</w:t>
      </w:r>
    </w:p>
    <w:p w:rsidR="003641F8" w:rsidRDefault="003641F8" w:rsidP="00AC3AD9">
      <w:pPr>
        <w:ind w:left="1134"/>
      </w:pPr>
      <w:r>
        <w:t>Step 1: Determination of performance requirements</w:t>
      </w:r>
    </w:p>
    <w:p w:rsidR="003641F8" w:rsidRDefault="003641F8" w:rsidP="00AC3AD9">
      <w:pPr>
        <w:ind w:left="1134"/>
      </w:pPr>
      <w:r>
        <w:t>Step 2: Preliminary product assessment</w:t>
      </w:r>
    </w:p>
    <w:p w:rsidR="003641F8" w:rsidRDefault="003641F8" w:rsidP="00AC3AD9">
      <w:pPr>
        <w:ind w:left="1134"/>
      </w:pPr>
      <w:r>
        <w:t>Step 3: Desktop audit</w:t>
      </w:r>
    </w:p>
    <w:p w:rsidR="003641F8" w:rsidRDefault="003641F8" w:rsidP="00AC3AD9">
      <w:pPr>
        <w:ind w:left="1134"/>
      </w:pPr>
      <w:r>
        <w:t>Step 4: Laboratory testing</w:t>
      </w:r>
    </w:p>
    <w:p w:rsidR="003641F8" w:rsidRDefault="003641F8" w:rsidP="00AC3AD9">
      <w:pPr>
        <w:ind w:left="1134"/>
      </w:pPr>
      <w:r>
        <w:t>Step 5: Field testing</w:t>
      </w:r>
    </w:p>
    <w:p w:rsidR="003641F8" w:rsidRDefault="003641F8" w:rsidP="00AC3AD9">
      <w:pPr>
        <w:spacing w:after="120"/>
        <w:ind w:left="1134"/>
      </w:pPr>
      <w:r>
        <w:t xml:space="preserve">Step 6: Reporting and entering into the </w:t>
      </w:r>
      <w:proofErr w:type="spellStart"/>
      <w:r>
        <w:t>Austroads</w:t>
      </w:r>
      <w:proofErr w:type="spellEnd"/>
      <w:r>
        <w:t xml:space="preserve"> register.</w:t>
      </w:r>
    </w:p>
    <w:p w:rsidR="009564D3" w:rsidRDefault="003641F8" w:rsidP="00AC3AD9">
      <w:pPr>
        <w:spacing w:after="120"/>
      </w:pPr>
      <w:r>
        <w:t>With regard to field testing for type approval purposes, performance measures for new or innovative ITS products are typically related to reliability, durability and system compatibility.</w:t>
      </w:r>
    </w:p>
    <w:p w:rsidR="003641F8" w:rsidRDefault="009619DE" w:rsidP="00AC3AD9">
      <w:pPr>
        <w:spacing w:after="120"/>
      </w:pPr>
      <w:r>
        <w:t>For f</w:t>
      </w:r>
      <w:r w:rsidR="009564D3">
        <w:t xml:space="preserve">urther information regarding the type approval </w:t>
      </w:r>
      <w:proofErr w:type="gramStart"/>
      <w:r w:rsidR="002470DD">
        <w:t>process contact</w:t>
      </w:r>
      <w:proofErr w:type="gramEnd"/>
      <w:r w:rsidR="009564D3">
        <w:t xml:space="preserve"> the Manager </w:t>
      </w:r>
      <w:r w:rsidR="00D31866">
        <w:t>ITS Infrastructure and Systems.</w:t>
      </w:r>
      <w:r w:rsidR="003641F8">
        <w:t xml:space="preserve"> </w:t>
      </w:r>
    </w:p>
    <w:p w:rsidR="003641F8" w:rsidRDefault="003641F8" w:rsidP="003641F8">
      <w:pPr>
        <w:spacing w:after="0"/>
      </w:pPr>
    </w:p>
    <w:p w:rsidR="006A4BA9" w:rsidRPr="006A4BA9" w:rsidRDefault="006A4BA9" w:rsidP="009619DE">
      <w:pPr>
        <w:rPr>
          <w:b/>
          <w:sz w:val="22"/>
          <w:szCs w:val="22"/>
        </w:rPr>
      </w:pPr>
      <w:r>
        <w:br w:type="page"/>
      </w:r>
      <w:r>
        <w:rPr>
          <w:b/>
          <w:color w:val="37424A"/>
          <w:sz w:val="22"/>
          <w:szCs w:val="22"/>
        </w:rPr>
        <w:lastRenderedPageBreak/>
        <w:t xml:space="preserve">Attachment </w:t>
      </w:r>
      <w:r w:rsidR="008E19DE">
        <w:rPr>
          <w:b/>
          <w:color w:val="37424A"/>
          <w:sz w:val="22"/>
          <w:szCs w:val="22"/>
        </w:rPr>
        <w:t>C</w:t>
      </w:r>
      <w:r>
        <w:rPr>
          <w:b/>
          <w:color w:val="37424A"/>
          <w:sz w:val="22"/>
          <w:szCs w:val="22"/>
        </w:rPr>
        <w:t xml:space="preserve">: </w:t>
      </w:r>
      <w:r w:rsidRPr="006A4BA9">
        <w:rPr>
          <w:b/>
          <w:sz w:val="22"/>
          <w:szCs w:val="22"/>
        </w:rPr>
        <w:t>Road Safety Barrier Products</w:t>
      </w:r>
    </w:p>
    <w:p w:rsidR="006A4BA9" w:rsidRDefault="006A4BA9" w:rsidP="006A4BA9">
      <w:pPr>
        <w:spacing w:after="0"/>
      </w:pPr>
    </w:p>
    <w:p w:rsidR="006A4BA9" w:rsidRDefault="006A4BA9" w:rsidP="00AC3AD9">
      <w:pPr>
        <w:spacing w:after="120"/>
      </w:pPr>
      <w:r>
        <w:t xml:space="preserve">A national process has been established to assess safety barrier products for use on public roads. This process is the responsibility of the </w:t>
      </w:r>
      <w:proofErr w:type="spellStart"/>
      <w:r>
        <w:t>Austroads</w:t>
      </w:r>
      <w:proofErr w:type="spellEnd"/>
      <w:r>
        <w:t xml:space="preserve"> Safety Barrier Assessment Panel (ASBAP). ASBAP provides the safety barrier industry with a single point of contact on behalf of the state roads authorities for the purpose of assessing new safety barrier products. The assessment of suitability comprises the physical device and its performance in addition to the technical and operational capability of the supplier to support it.  </w:t>
      </w:r>
    </w:p>
    <w:p w:rsidR="006A4BA9" w:rsidRDefault="00940E43" w:rsidP="00AC3AD9">
      <w:pPr>
        <w:spacing w:after="120"/>
      </w:pPr>
      <w:r>
        <w:t>S</w:t>
      </w:r>
      <w:r w:rsidR="006A4BA9">
        <w:t>afety barrier product</w:t>
      </w:r>
      <w:r>
        <w:t>s</w:t>
      </w:r>
      <w:r w:rsidR="006A4BA9">
        <w:t xml:space="preserve"> include longitudinal barriers, barrier terminals</w:t>
      </w:r>
      <w:r>
        <w:t xml:space="preserve">, barrier systems (i.e. longitudinal barrier / terminal combinations), </w:t>
      </w:r>
      <w:r w:rsidR="006A4BA9">
        <w:t>crash cushions</w:t>
      </w:r>
      <w:r>
        <w:t xml:space="preserve">, single hazard protectors, energy absorbing bollards and barrier gates. They include products for </w:t>
      </w:r>
      <w:r w:rsidR="006A4BA9">
        <w:t xml:space="preserve">permanent </w:t>
      </w:r>
      <w:r>
        <w:t>or</w:t>
      </w:r>
      <w:r w:rsidR="006A4BA9">
        <w:t xml:space="preserve"> temporary </w:t>
      </w:r>
      <w:r>
        <w:t>use</w:t>
      </w:r>
      <w:r w:rsidR="006A4BA9">
        <w:t>. ASBAP’s role also extends to other road safety hardware that is crash tested in accordance with a recognised standard (e.g. frangible lighting poles and sign supports).</w:t>
      </w:r>
    </w:p>
    <w:p w:rsidR="003071B1" w:rsidRDefault="003071B1" w:rsidP="00AC3AD9">
      <w:pPr>
        <w:spacing w:after="120"/>
      </w:pPr>
      <w:r>
        <w:t>A</w:t>
      </w:r>
      <w:r w:rsidR="00933772">
        <w:t xml:space="preserve"> </w:t>
      </w:r>
      <w:r w:rsidR="00933772" w:rsidRPr="00933772">
        <w:rPr>
          <w:i/>
        </w:rPr>
        <w:t>Safety barrier assessment, Submission information pack</w:t>
      </w:r>
      <w:r>
        <w:t xml:space="preserve"> details the submission process and the information required</w:t>
      </w:r>
      <w:r w:rsidR="00FA4EA1">
        <w:t xml:space="preserve"> (which is extensive)</w:t>
      </w:r>
      <w:r>
        <w:t xml:space="preserve"> </w:t>
      </w:r>
      <w:r w:rsidR="008C3E77">
        <w:t>in</w:t>
      </w:r>
      <w:r>
        <w:t xml:space="preserve"> support </w:t>
      </w:r>
      <w:r w:rsidR="008C3E77">
        <w:t xml:space="preserve">of </w:t>
      </w:r>
      <w:r>
        <w:t xml:space="preserve">a submission. ASBAP coordinates a risk assessment of a product based on the information </w:t>
      </w:r>
      <w:r w:rsidR="00933772">
        <w:t>submitted</w:t>
      </w:r>
      <w:r>
        <w:t xml:space="preserve"> and makes a determination on </w:t>
      </w:r>
      <w:r w:rsidR="008C3E77">
        <w:t xml:space="preserve">whether </w:t>
      </w:r>
      <w:r>
        <w:t xml:space="preserve">the product is </w:t>
      </w:r>
      <w:r w:rsidR="00793FBD">
        <w:t>recommended</w:t>
      </w:r>
      <w:r>
        <w:t xml:space="preserve"> for use on the road network. </w:t>
      </w:r>
      <w:r w:rsidR="00E7520B">
        <w:t xml:space="preserve">A </w:t>
      </w:r>
      <w:r>
        <w:t xml:space="preserve">product </w:t>
      </w:r>
      <w:r w:rsidR="00E7520B">
        <w:t xml:space="preserve">recommendation </w:t>
      </w:r>
      <w:r>
        <w:t xml:space="preserve">may be subject to </w:t>
      </w:r>
      <w:r w:rsidR="00E7520B">
        <w:t>conditions of use</w:t>
      </w:r>
      <w:r w:rsidR="00FA4EA1">
        <w:t>.</w:t>
      </w:r>
    </w:p>
    <w:p w:rsidR="00E7520B" w:rsidRDefault="00E7520B" w:rsidP="00AC3AD9">
      <w:pPr>
        <w:spacing w:after="120"/>
      </w:pPr>
      <w:r>
        <w:t>ASBAP determinations are purely recommendations to state road authorities to consider use of the product on the road network within their jurisdiction. Acceptance of the product is the responsibility of the relevant state road authority.</w:t>
      </w:r>
    </w:p>
    <w:p w:rsidR="00FA4EA1" w:rsidRDefault="00E7520B" w:rsidP="00AC3AD9">
      <w:pPr>
        <w:spacing w:after="120"/>
      </w:pPr>
      <w:r>
        <w:t>VicRoads</w:t>
      </w:r>
      <w:r w:rsidR="00FA4EA1">
        <w:t xml:space="preserve"> may withdraw or modify acceptance </w:t>
      </w:r>
      <w:r>
        <w:t xml:space="preserve">of a product </w:t>
      </w:r>
      <w:r w:rsidR="00FA4EA1">
        <w:t xml:space="preserve">at any time as result of re-evaluation or in-service </w:t>
      </w:r>
      <w:r>
        <w:t>performance</w:t>
      </w:r>
      <w:r w:rsidR="00FA4EA1">
        <w:t xml:space="preserve">. </w:t>
      </w:r>
    </w:p>
    <w:p w:rsidR="006A4BA9" w:rsidRDefault="00920FC3" w:rsidP="00AC3AD9">
      <w:pPr>
        <w:spacing w:after="120"/>
      </w:pPr>
      <w:r>
        <w:t>T</w:t>
      </w:r>
      <w:r w:rsidR="006A4BA9">
        <w:t>he A</w:t>
      </w:r>
      <w:r>
        <w:t>SBAP</w:t>
      </w:r>
      <w:r w:rsidR="006A4BA9">
        <w:t xml:space="preserve"> assessment process does not </w:t>
      </w:r>
      <w:r w:rsidR="00E7520B">
        <w:t>consider</w:t>
      </w:r>
      <w:r>
        <w:t xml:space="preserve"> that</w:t>
      </w:r>
      <w:r w:rsidR="006A4BA9">
        <w:t xml:space="preserve"> barrier products </w:t>
      </w:r>
      <w:r w:rsidR="002604DA">
        <w:t>may</w:t>
      </w:r>
      <w:r w:rsidR="006A4BA9">
        <w:t xml:space="preserve"> be trialled on the road network prior to acceptance. </w:t>
      </w:r>
      <w:r>
        <w:t>However, it does make provision for in-service reviews</w:t>
      </w:r>
      <w:r w:rsidR="00E7520B">
        <w:t xml:space="preserve"> following recommendation or acceptance</w:t>
      </w:r>
      <w:r>
        <w:t>. The Submission Information Pack states:</w:t>
      </w:r>
    </w:p>
    <w:p w:rsidR="00920FC3" w:rsidRPr="00920FC3" w:rsidRDefault="00920FC3" w:rsidP="00920FC3">
      <w:pPr>
        <w:spacing w:after="120"/>
        <w:ind w:left="1134" w:right="567"/>
        <w:rPr>
          <w:i/>
        </w:rPr>
      </w:pPr>
      <w:r w:rsidRPr="00920FC3">
        <w:rPr>
          <w:i/>
        </w:rPr>
        <w:t>Information on in-service performance is collected on installed barrier products. The in-service performance may be used in periodic review of products or trigger a re-evaluation of a product.</w:t>
      </w:r>
    </w:p>
    <w:p w:rsidR="00E7520B" w:rsidRDefault="002604DA" w:rsidP="006A4BA9">
      <w:r>
        <w:t>Ultimately</w:t>
      </w:r>
      <w:r w:rsidR="00E7520B">
        <w:t xml:space="preserve">, the decision to trial a new or innovative barrier product would </w:t>
      </w:r>
      <w:r>
        <w:t>lie with VicRoads.</w:t>
      </w:r>
    </w:p>
    <w:p w:rsidR="006A4BA9" w:rsidRDefault="009619DE" w:rsidP="006A4BA9">
      <w:r>
        <w:t>For further information regarding safety barrier products contact the Manager Road Standards and Traffic.</w:t>
      </w:r>
    </w:p>
    <w:p w:rsidR="006A4BA9" w:rsidRPr="006A4BA9" w:rsidRDefault="006A4BA9" w:rsidP="009619DE">
      <w:pPr>
        <w:rPr>
          <w:b/>
          <w:sz w:val="22"/>
          <w:szCs w:val="22"/>
        </w:rPr>
      </w:pPr>
      <w:r>
        <w:br w:type="page"/>
      </w:r>
      <w:r>
        <w:rPr>
          <w:b/>
          <w:color w:val="37424A"/>
          <w:sz w:val="22"/>
          <w:szCs w:val="22"/>
        </w:rPr>
        <w:lastRenderedPageBreak/>
        <w:t xml:space="preserve">Attachment </w:t>
      </w:r>
      <w:r w:rsidR="008E19DE">
        <w:rPr>
          <w:b/>
          <w:color w:val="37424A"/>
          <w:sz w:val="22"/>
          <w:szCs w:val="22"/>
        </w:rPr>
        <w:t>D</w:t>
      </w:r>
      <w:r>
        <w:rPr>
          <w:b/>
          <w:color w:val="37424A"/>
          <w:sz w:val="22"/>
          <w:szCs w:val="22"/>
        </w:rPr>
        <w:t xml:space="preserve">: </w:t>
      </w:r>
      <w:r w:rsidRPr="006A4BA9">
        <w:rPr>
          <w:b/>
          <w:sz w:val="22"/>
          <w:szCs w:val="22"/>
        </w:rPr>
        <w:t>Pavement &amp; Construction Materials</w:t>
      </w:r>
    </w:p>
    <w:p w:rsidR="006A4BA9" w:rsidRDefault="006A4BA9" w:rsidP="006A4BA9">
      <w:pPr>
        <w:spacing w:after="0"/>
      </w:pPr>
    </w:p>
    <w:p w:rsidR="006A4BA9" w:rsidRDefault="006A4BA9" w:rsidP="00AC3AD9">
      <w:pPr>
        <w:spacing w:after="120"/>
      </w:pPr>
      <w:r>
        <w:t>VicRoads has a documented process for the assessment of innovative pavement and construction materials. While the documentation was prepared for internal use, it is made available to industry as required.</w:t>
      </w:r>
    </w:p>
    <w:p w:rsidR="006A4BA9" w:rsidRDefault="006A4BA9" w:rsidP="00AC3AD9">
      <w:r>
        <w:t>The process involves the following steps:</w:t>
      </w:r>
    </w:p>
    <w:p w:rsidR="006A4BA9" w:rsidRDefault="006A4BA9" w:rsidP="00A727C6">
      <w:pPr>
        <w:numPr>
          <w:ilvl w:val="3"/>
          <w:numId w:val="3"/>
        </w:numPr>
        <w:ind w:left="1418" w:hanging="284"/>
      </w:pPr>
      <w:r>
        <w:t>Initial request for consideration of innovation – Submissions are prepared on a standard form which is lodged with the Principal Advisor Pavements and Materials (PA P&amp;M).</w:t>
      </w:r>
    </w:p>
    <w:p w:rsidR="006A4BA9" w:rsidRDefault="006A4BA9" w:rsidP="00A727C6">
      <w:pPr>
        <w:numPr>
          <w:ilvl w:val="3"/>
          <w:numId w:val="3"/>
        </w:numPr>
        <w:ind w:left="1418" w:hanging="284"/>
      </w:pPr>
      <w:r>
        <w:t>Preliminary assessment – Proceeds if it has been determined that VicRoads is best placed to consider the submission. The objective of the preliminary assessment is to identify that the innovation has potential value before moving to the next step.</w:t>
      </w:r>
    </w:p>
    <w:p w:rsidR="006A4BA9" w:rsidRDefault="006A4BA9" w:rsidP="00A727C6">
      <w:pPr>
        <w:numPr>
          <w:ilvl w:val="3"/>
          <w:numId w:val="3"/>
        </w:numPr>
        <w:ind w:left="1418" w:hanging="284"/>
      </w:pPr>
      <w:r>
        <w:t>Market readiness test and desk top assessment – Market readiness is required as VicRoads is not involved with product development. Information relating to the innovation is examined to decide if it is appropriate to proceed with a comprehensive assessment.</w:t>
      </w:r>
    </w:p>
    <w:p w:rsidR="006A4BA9" w:rsidRDefault="006A4BA9" w:rsidP="00A727C6">
      <w:pPr>
        <w:numPr>
          <w:ilvl w:val="3"/>
          <w:numId w:val="3"/>
        </w:numPr>
        <w:ind w:left="1418" w:hanging="284"/>
      </w:pPr>
      <w:r>
        <w:t>Assessment Panel and Action Plan – An action plan is developed, which is overseen by a panel that includes a technical specialist and the proponent. A representative of Metropolitan / Regional Operations is included on the panel if a field trial is proposed. The action plan is to be agreed by the PA P&amp;M and Regional / Project Director as appropriate.</w:t>
      </w:r>
    </w:p>
    <w:p w:rsidR="006A4BA9" w:rsidRDefault="006A4BA9" w:rsidP="00A727C6">
      <w:pPr>
        <w:numPr>
          <w:ilvl w:val="3"/>
          <w:numId w:val="3"/>
        </w:numPr>
        <w:ind w:left="1418" w:hanging="284"/>
      </w:pPr>
      <w:r>
        <w:t>Implementation – Proceeds subject to finalisation of costs and funding sources. A field trial, if required, is part of this step. Field trials are managed by a region or project.</w:t>
      </w:r>
    </w:p>
    <w:p w:rsidR="006A4BA9" w:rsidRDefault="006A4BA9" w:rsidP="00A727C6">
      <w:pPr>
        <w:numPr>
          <w:ilvl w:val="3"/>
          <w:numId w:val="3"/>
        </w:numPr>
        <w:ind w:left="1418" w:hanging="284"/>
      </w:pPr>
      <w:r>
        <w:t>Comprehensive assessment – Is conducted by the Assessment Panel in accordance with the Action Plan.</w:t>
      </w:r>
    </w:p>
    <w:p w:rsidR="006A4BA9" w:rsidRDefault="006A4BA9" w:rsidP="00A727C6">
      <w:pPr>
        <w:numPr>
          <w:ilvl w:val="3"/>
          <w:numId w:val="3"/>
        </w:numPr>
        <w:spacing w:after="120"/>
        <w:ind w:left="1418" w:hanging="284"/>
      </w:pPr>
      <w:r>
        <w:t>End of assessment – The assessment is complete once all relevant VicRoads documents (specifications, technical notes, policies etc.) have been amended in accordance with the findings or when the innovation is not approved.</w:t>
      </w:r>
    </w:p>
    <w:p w:rsidR="006A4BA9" w:rsidRDefault="006A4BA9" w:rsidP="00AC3AD9">
      <w:pPr>
        <w:spacing w:after="120"/>
      </w:pPr>
      <w:r>
        <w:t xml:space="preserve">ARRB Group is promoting a national approach to material product evaluation and is piloting a scheme based on Queensland’s Transport Infrastructure Evaluation Scheme (TIPES).   The scheme is confined to the assessment of road pavement construction products at the current time. </w:t>
      </w:r>
    </w:p>
    <w:p w:rsidR="006A4BA9" w:rsidRDefault="006A4BA9" w:rsidP="00AC3AD9">
      <w:pPr>
        <w:spacing w:after="120"/>
      </w:pPr>
      <w:r>
        <w:t>The assessment process culminates with the preparation of a Technical Opinion based on the product and its assessment. Where the Technical Opinion is favourable, a certificate of registration is issued which allows publication and distribution of the Technical Opinion by the applicant. However, there is no guarantee that the product will be accepted by any road agency.</w:t>
      </w:r>
    </w:p>
    <w:p w:rsidR="00506182" w:rsidRDefault="006A4BA9" w:rsidP="00AC3AD9">
      <w:pPr>
        <w:spacing w:after="120"/>
      </w:pPr>
      <w:r>
        <w:t xml:space="preserve">Fees apply for application, initial assessment, field performance trial assessment and publication of outcomes. </w:t>
      </w:r>
    </w:p>
    <w:p w:rsidR="009619DE" w:rsidRDefault="006A4BA9" w:rsidP="00AC3AD9">
      <w:pPr>
        <w:spacing w:after="120"/>
      </w:pPr>
      <w:r>
        <w:t>TIPES is currently endorsed by the Queensland, South Australian, Tasmanian and the Northern Territory state road agencies.</w:t>
      </w:r>
    </w:p>
    <w:p w:rsidR="00A86467" w:rsidRPr="00506182" w:rsidRDefault="009619DE" w:rsidP="00506182">
      <w:r>
        <w:t xml:space="preserve">For further information regarding </w:t>
      </w:r>
      <w:r w:rsidR="00723C39">
        <w:t>pavement and construction</w:t>
      </w:r>
      <w:r>
        <w:t xml:space="preserve"> </w:t>
      </w:r>
      <w:r w:rsidR="00530F48">
        <w:t xml:space="preserve">materials </w:t>
      </w:r>
      <w:r>
        <w:t xml:space="preserve">contact the </w:t>
      </w:r>
      <w:r w:rsidR="00530F48">
        <w:t>Manager Pavement Technology or Manager Construction Materials</w:t>
      </w:r>
      <w:r w:rsidR="00723C39">
        <w:t>.</w:t>
      </w:r>
    </w:p>
    <w:sectPr w:rsidR="00A86467" w:rsidRPr="00506182" w:rsidSect="00506182">
      <w:pgSz w:w="11907" w:h="16839" w:code="9"/>
      <w:pgMar w:top="1418" w:right="1134" w:bottom="1418" w:left="1134" w:header="709" w:footer="2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658" w:rsidRDefault="00003658" w:rsidP="00DB7157">
      <w:r>
        <w:separator/>
      </w:r>
    </w:p>
  </w:endnote>
  <w:endnote w:type="continuationSeparator" w:id="0">
    <w:p w:rsidR="00003658" w:rsidRDefault="00003658" w:rsidP="00DB71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Bold">
    <w:altName w:val="Verdan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658" w:rsidRDefault="00003658" w:rsidP="00BE49A4">
    <w:pPr>
      <w:pStyle w:val="Footer"/>
      <w:jc w:val="center"/>
    </w:pPr>
  </w:p>
  <w:p w:rsidR="00003658" w:rsidRDefault="001D435C" w:rsidP="00BE49A4">
    <w:pPr>
      <w:pStyle w:val="Footer"/>
      <w:jc w:val="center"/>
    </w:pPr>
    <w:fldSimple w:instr=" PAGE   \* MERGEFORMAT ">
      <w:r w:rsidR="00BC4620">
        <w:rPr>
          <w:noProof/>
        </w:rPr>
        <w:t>1</w:t>
      </w:r>
    </w:fldSimple>
  </w:p>
  <w:p w:rsidR="00003658" w:rsidRDefault="00003658" w:rsidP="00DB71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658" w:rsidRDefault="00003658" w:rsidP="00DB7157">
      <w:r>
        <w:separator/>
      </w:r>
    </w:p>
  </w:footnote>
  <w:footnote w:type="continuationSeparator" w:id="0">
    <w:p w:rsidR="00003658" w:rsidRDefault="00003658" w:rsidP="00DB7157">
      <w:r>
        <w:continuationSeparator/>
      </w:r>
    </w:p>
  </w:footnote>
  <w:footnote w:id="1">
    <w:p w:rsidR="00003658" w:rsidRDefault="00003658">
      <w:pPr>
        <w:pStyle w:val="FootnoteText"/>
      </w:pPr>
      <w:r>
        <w:rPr>
          <w:rStyle w:val="FootnoteReference"/>
        </w:rPr>
        <w:footnoteRef/>
      </w:r>
      <w:r>
        <w:t xml:space="preserve"> The IEF and is available on Exchange, together with other information on managing investments, at How to &gt; Find P&amp;P Information &gt; Manage Investments (</w:t>
      </w:r>
      <w:r w:rsidRPr="00080090">
        <w:t>QD</w:t>
      </w:r>
      <w:r>
        <w:t>#2441936)</w:t>
      </w:r>
    </w:p>
  </w:footnote>
  <w:footnote w:id="2">
    <w:p w:rsidR="00003658" w:rsidRDefault="00003658" w:rsidP="00304110">
      <w:pPr>
        <w:pStyle w:val="FootnoteText"/>
        <w:jc w:val="both"/>
      </w:pPr>
      <w:r>
        <w:rPr>
          <w:rStyle w:val="FootnoteReference"/>
        </w:rPr>
        <w:footnoteRef/>
      </w:r>
      <w:r>
        <w:t xml:space="preserve"> The BMF provides guidance relating to benefits, key performance indicators and performance measures (QD#1095952)</w:t>
      </w:r>
    </w:p>
  </w:footnote>
  <w:footnote w:id="3">
    <w:p w:rsidR="00003658" w:rsidRDefault="00003658" w:rsidP="006A4BA9">
      <w:pPr>
        <w:pStyle w:val="FootnoteText"/>
        <w:ind w:left="709"/>
      </w:pPr>
      <w:r>
        <w:rPr>
          <w:rStyle w:val="FootnoteReference"/>
        </w:rPr>
        <w:footnoteRef/>
      </w:r>
      <w:r>
        <w:t xml:space="preserve"> Project NT1803 Development of Product Acceptance Techniques for Network Devices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D399E"/>
    <w:multiLevelType w:val="hybridMultilevel"/>
    <w:tmpl w:val="2722CEF2"/>
    <w:lvl w:ilvl="0" w:tplc="4806A18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B5C4FF5"/>
    <w:multiLevelType w:val="hybridMultilevel"/>
    <w:tmpl w:val="6DB2D51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
    <w:nsid w:val="22C80C59"/>
    <w:multiLevelType w:val="hybridMultilevel"/>
    <w:tmpl w:val="B01492C4"/>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3">
    <w:nsid w:val="24952109"/>
    <w:multiLevelType w:val="hybridMultilevel"/>
    <w:tmpl w:val="EB06D1B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nsid w:val="3000248C"/>
    <w:multiLevelType w:val="hybridMultilevel"/>
    <w:tmpl w:val="752E0032"/>
    <w:lvl w:ilvl="0" w:tplc="FD262044">
      <w:start w:val="1"/>
      <w:numFmt w:val="decimal"/>
      <w:pStyle w:val="H3"/>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C8F5DCA"/>
    <w:multiLevelType w:val="hybridMultilevel"/>
    <w:tmpl w:val="94E6D9C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nsid w:val="4FF833A1"/>
    <w:multiLevelType w:val="hybridMultilevel"/>
    <w:tmpl w:val="BA1EA4C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nsid w:val="5D141F8F"/>
    <w:multiLevelType w:val="hybridMultilevel"/>
    <w:tmpl w:val="8E26CC9E"/>
    <w:lvl w:ilvl="0" w:tplc="16D076A8">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6D6A4829"/>
    <w:multiLevelType w:val="hybridMultilevel"/>
    <w:tmpl w:val="A77A7E9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nsid w:val="6DF1126B"/>
    <w:multiLevelType w:val="hybridMultilevel"/>
    <w:tmpl w:val="8B9A307E"/>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0">
    <w:nsid w:val="72D1015B"/>
    <w:multiLevelType w:val="hybridMultilevel"/>
    <w:tmpl w:val="82A4690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nsid w:val="7C8E1925"/>
    <w:multiLevelType w:val="hybridMultilevel"/>
    <w:tmpl w:val="84007596"/>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num w:numId="1">
    <w:abstractNumId w:val="4"/>
  </w:num>
  <w:num w:numId="2">
    <w:abstractNumId w:val="5"/>
  </w:num>
  <w:num w:numId="3">
    <w:abstractNumId w:val="11"/>
  </w:num>
  <w:num w:numId="4">
    <w:abstractNumId w:val="1"/>
  </w:num>
  <w:num w:numId="5">
    <w:abstractNumId w:val="10"/>
  </w:num>
  <w:num w:numId="6">
    <w:abstractNumId w:val="6"/>
  </w:num>
  <w:num w:numId="7">
    <w:abstractNumId w:val="9"/>
  </w:num>
  <w:num w:numId="8">
    <w:abstractNumId w:val="0"/>
  </w:num>
  <w:num w:numId="9">
    <w:abstractNumId w:val="7"/>
  </w:num>
  <w:num w:numId="10">
    <w:abstractNumId w:val="2"/>
  </w:num>
  <w:num w:numId="11">
    <w:abstractNumId w:val="3"/>
  </w:num>
  <w:num w:numId="12">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9"/>
  <w:proofState w:spelling="clean" w:grammar="clean"/>
  <w:stylePaneFormatFilter w:val="3F01"/>
  <w:doNotTrackMoves/>
  <w:defaultTabStop w:val="720"/>
  <w:drawingGridHorizontalSpacing w:val="100"/>
  <w:displayHorizontalDrawingGridEvery w:val="2"/>
  <w:characterSpacingControl w:val="doNotCompress"/>
  <w:hdrShapeDefaults>
    <o:shapedefaults v:ext="edit" spidmax="14950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30AA"/>
    <w:rsid w:val="00003658"/>
    <w:rsid w:val="000038B5"/>
    <w:rsid w:val="00003E67"/>
    <w:rsid w:val="00004BD8"/>
    <w:rsid w:val="00005ACD"/>
    <w:rsid w:val="000136FE"/>
    <w:rsid w:val="00015D0A"/>
    <w:rsid w:val="00023658"/>
    <w:rsid w:val="00026578"/>
    <w:rsid w:val="00031002"/>
    <w:rsid w:val="00047AC1"/>
    <w:rsid w:val="00050ADC"/>
    <w:rsid w:val="00050FC9"/>
    <w:rsid w:val="00053936"/>
    <w:rsid w:val="00054226"/>
    <w:rsid w:val="00055B37"/>
    <w:rsid w:val="00055FDC"/>
    <w:rsid w:val="0006774F"/>
    <w:rsid w:val="00072C64"/>
    <w:rsid w:val="000764FE"/>
    <w:rsid w:val="00080090"/>
    <w:rsid w:val="0009018F"/>
    <w:rsid w:val="00091C05"/>
    <w:rsid w:val="00092E87"/>
    <w:rsid w:val="00093992"/>
    <w:rsid w:val="00093AC8"/>
    <w:rsid w:val="000A2C64"/>
    <w:rsid w:val="000A3F00"/>
    <w:rsid w:val="000A5A26"/>
    <w:rsid w:val="000B0709"/>
    <w:rsid w:val="000B6D55"/>
    <w:rsid w:val="000C2000"/>
    <w:rsid w:val="000C2AB8"/>
    <w:rsid w:val="000C2ACE"/>
    <w:rsid w:val="000C2AF2"/>
    <w:rsid w:val="000C6A36"/>
    <w:rsid w:val="000D0FE1"/>
    <w:rsid w:val="000D7308"/>
    <w:rsid w:val="000E195F"/>
    <w:rsid w:val="000E1EEE"/>
    <w:rsid w:val="000E3414"/>
    <w:rsid w:val="000E697A"/>
    <w:rsid w:val="000F6003"/>
    <w:rsid w:val="000F7FD9"/>
    <w:rsid w:val="001000C7"/>
    <w:rsid w:val="00100B0D"/>
    <w:rsid w:val="001018CD"/>
    <w:rsid w:val="00104CC2"/>
    <w:rsid w:val="00105D23"/>
    <w:rsid w:val="0011022D"/>
    <w:rsid w:val="00110297"/>
    <w:rsid w:val="001134DA"/>
    <w:rsid w:val="00127938"/>
    <w:rsid w:val="00134EC2"/>
    <w:rsid w:val="00135C5B"/>
    <w:rsid w:val="00142561"/>
    <w:rsid w:val="00146555"/>
    <w:rsid w:val="00146B28"/>
    <w:rsid w:val="00157917"/>
    <w:rsid w:val="0016382A"/>
    <w:rsid w:val="001643E7"/>
    <w:rsid w:val="001670DC"/>
    <w:rsid w:val="001674EC"/>
    <w:rsid w:val="001709F4"/>
    <w:rsid w:val="00171BE2"/>
    <w:rsid w:val="0018073E"/>
    <w:rsid w:val="001857A9"/>
    <w:rsid w:val="00187EF2"/>
    <w:rsid w:val="001A1C84"/>
    <w:rsid w:val="001A26B0"/>
    <w:rsid w:val="001A508F"/>
    <w:rsid w:val="001A56F1"/>
    <w:rsid w:val="001A5FC8"/>
    <w:rsid w:val="001B147B"/>
    <w:rsid w:val="001B4A44"/>
    <w:rsid w:val="001C6DF3"/>
    <w:rsid w:val="001D435C"/>
    <w:rsid w:val="001D56B3"/>
    <w:rsid w:val="001D6547"/>
    <w:rsid w:val="001D69F9"/>
    <w:rsid w:val="001D781F"/>
    <w:rsid w:val="001E3DD1"/>
    <w:rsid w:val="001E471C"/>
    <w:rsid w:val="001E4F58"/>
    <w:rsid w:val="001E5668"/>
    <w:rsid w:val="001E72CC"/>
    <w:rsid w:val="001F021E"/>
    <w:rsid w:val="001F1931"/>
    <w:rsid w:val="00201849"/>
    <w:rsid w:val="00201BC5"/>
    <w:rsid w:val="002021FE"/>
    <w:rsid w:val="00203898"/>
    <w:rsid w:val="0020553A"/>
    <w:rsid w:val="002070F5"/>
    <w:rsid w:val="00210018"/>
    <w:rsid w:val="00215819"/>
    <w:rsid w:val="0021759C"/>
    <w:rsid w:val="00220219"/>
    <w:rsid w:val="002244FF"/>
    <w:rsid w:val="00227FB1"/>
    <w:rsid w:val="0023157F"/>
    <w:rsid w:val="00233B56"/>
    <w:rsid w:val="002435BC"/>
    <w:rsid w:val="00246A8A"/>
    <w:rsid w:val="002470DD"/>
    <w:rsid w:val="00247CA4"/>
    <w:rsid w:val="00254BC2"/>
    <w:rsid w:val="00256B12"/>
    <w:rsid w:val="002604DA"/>
    <w:rsid w:val="002643CC"/>
    <w:rsid w:val="002650B6"/>
    <w:rsid w:val="00265336"/>
    <w:rsid w:val="00267B9C"/>
    <w:rsid w:val="00272681"/>
    <w:rsid w:val="002747FB"/>
    <w:rsid w:val="0027521B"/>
    <w:rsid w:val="002758C3"/>
    <w:rsid w:val="00276E9C"/>
    <w:rsid w:val="00277990"/>
    <w:rsid w:val="00281343"/>
    <w:rsid w:val="00283263"/>
    <w:rsid w:val="00286A12"/>
    <w:rsid w:val="00286FA1"/>
    <w:rsid w:val="00290AC2"/>
    <w:rsid w:val="00294F3B"/>
    <w:rsid w:val="0029626B"/>
    <w:rsid w:val="00296EA4"/>
    <w:rsid w:val="002A0A84"/>
    <w:rsid w:val="002A5A78"/>
    <w:rsid w:val="002A7E39"/>
    <w:rsid w:val="002B53D6"/>
    <w:rsid w:val="002B5E7E"/>
    <w:rsid w:val="002D005B"/>
    <w:rsid w:val="002D0383"/>
    <w:rsid w:val="002D29CD"/>
    <w:rsid w:val="002D5ECD"/>
    <w:rsid w:val="002E4F39"/>
    <w:rsid w:val="002E6C5C"/>
    <w:rsid w:val="002F1941"/>
    <w:rsid w:val="002F72DD"/>
    <w:rsid w:val="002F7E93"/>
    <w:rsid w:val="00301B0A"/>
    <w:rsid w:val="00303AFD"/>
    <w:rsid w:val="00303FA1"/>
    <w:rsid w:val="00304110"/>
    <w:rsid w:val="00307035"/>
    <w:rsid w:val="003071B1"/>
    <w:rsid w:val="00314367"/>
    <w:rsid w:val="00323084"/>
    <w:rsid w:val="00323F55"/>
    <w:rsid w:val="00326699"/>
    <w:rsid w:val="00330640"/>
    <w:rsid w:val="00330E5B"/>
    <w:rsid w:val="003347EE"/>
    <w:rsid w:val="00351F13"/>
    <w:rsid w:val="00356076"/>
    <w:rsid w:val="00363B04"/>
    <w:rsid w:val="003641F8"/>
    <w:rsid w:val="003730CE"/>
    <w:rsid w:val="00375565"/>
    <w:rsid w:val="00375AD4"/>
    <w:rsid w:val="00381FD3"/>
    <w:rsid w:val="00382B4D"/>
    <w:rsid w:val="00383966"/>
    <w:rsid w:val="0039482D"/>
    <w:rsid w:val="00394DCE"/>
    <w:rsid w:val="00395FCB"/>
    <w:rsid w:val="003A285E"/>
    <w:rsid w:val="003A34A0"/>
    <w:rsid w:val="003A4DFA"/>
    <w:rsid w:val="003A6A4D"/>
    <w:rsid w:val="003A6C5E"/>
    <w:rsid w:val="003B12D9"/>
    <w:rsid w:val="003B4073"/>
    <w:rsid w:val="003B6439"/>
    <w:rsid w:val="003C68DE"/>
    <w:rsid w:val="003D0663"/>
    <w:rsid w:val="003D0811"/>
    <w:rsid w:val="003D5B7E"/>
    <w:rsid w:val="003E3191"/>
    <w:rsid w:val="003E35A3"/>
    <w:rsid w:val="003E38C2"/>
    <w:rsid w:val="003E5D1C"/>
    <w:rsid w:val="003E5D4F"/>
    <w:rsid w:val="003F1F45"/>
    <w:rsid w:val="003F4178"/>
    <w:rsid w:val="003F4FE2"/>
    <w:rsid w:val="003F5E93"/>
    <w:rsid w:val="003F696E"/>
    <w:rsid w:val="003F7212"/>
    <w:rsid w:val="00402155"/>
    <w:rsid w:val="004039B3"/>
    <w:rsid w:val="0041243D"/>
    <w:rsid w:val="0042262E"/>
    <w:rsid w:val="00427258"/>
    <w:rsid w:val="00440DF3"/>
    <w:rsid w:val="004415A7"/>
    <w:rsid w:val="00441690"/>
    <w:rsid w:val="00442208"/>
    <w:rsid w:val="0044309E"/>
    <w:rsid w:val="004430DA"/>
    <w:rsid w:val="00444917"/>
    <w:rsid w:val="00453D6E"/>
    <w:rsid w:val="00454970"/>
    <w:rsid w:val="00460C10"/>
    <w:rsid w:val="004630AA"/>
    <w:rsid w:val="00463762"/>
    <w:rsid w:val="00464080"/>
    <w:rsid w:val="00474FFF"/>
    <w:rsid w:val="00480F43"/>
    <w:rsid w:val="00481CDE"/>
    <w:rsid w:val="00483803"/>
    <w:rsid w:val="00483CAE"/>
    <w:rsid w:val="004926F3"/>
    <w:rsid w:val="00494D1E"/>
    <w:rsid w:val="00496D16"/>
    <w:rsid w:val="004A0E06"/>
    <w:rsid w:val="004A205E"/>
    <w:rsid w:val="004A6F97"/>
    <w:rsid w:val="004A7E09"/>
    <w:rsid w:val="004B2E50"/>
    <w:rsid w:val="004B7DD2"/>
    <w:rsid w:val="004D1EC3"/>
    <w:rsid w:val="004D2684"/>
    <w:rsid w:val="004D36BC"/>
    <w:rsid w:val="004E07FA"/>
    <w:rsid w:val="004E1DB2"/>
    <w:rsid w:val="004E2583"/>
    <w:rsid w:val="004E3AE6"/>
    <w:rsid w:val="004E5BE6"/>
    <w:rsid w:val="004F2D4E"/>
    <w:rsid w:val="00502456"/>
    <w:rsid w:val="00504C92"/>
    <w:rsid w:val="00505FF8"/>
    <w:rsid w:val="00506182"/>
    <w:rsid w:val="00506ABF"/>
    <w:rsid w:val="00513D13"/>
    <w:rsid w:val="005225C3"/>
    <w:rsid w:val="00523CEC"/>
    <w:rsid w:val="00524319"/>
    <w:rsid w:val="00525414"/>
    <w:rsid w:val="00526DE2"/>
    <w:rsid w:val="00527520"/>
    <w:rsid w:val="00530150"/>
    <w:rsid w:val="00530F48"/>
    <w:rsid w:val="005358AE"/>
    <w:rsid w:val="005371FC"/>
    <w:rsid w:val="00540B01"/>
    <w:rsid w:val="0054281F"/>
    <w:rsid w:val="00543F26"/>
    <w:rsid w:val="00552A32"/>
    <w:rsid w:val="00570AD2"/>
    <w:rsid w:val="00571625"/>
    <w:rsid w:val="00575152"/>
    <w:rsid w:val="00577B39"/>
    <w:rsid w:val="0058142F"/>
    <w:rsid w:val="005876EF"/>
    <w:rsid w:val="0059254F"/>
    <w:rsid w:val="005A0066"/>
    <w:rsid w:val="005A05EE"/>
    <w:rsid w:val="005A07DA"/>
    <w:rsid w:val="005A255D"/>
    <w:rsid w:val="005A662F"/>
    <w:rsid w:val="005B3AF5"/>
    <w:rsid w:val="005B4527"/>
    <w:rsid w:val="005B65A5"/>
    <w:rsid w:val="005B6B21"/>
    <w:rsid w:val="005C0DD8"/>
    <w:rsid w:val="005C17C5"/>
    <w:rsid w:val="005C3F7D"/>
    <w:rsid w:val="005C6E7E"/>
    <w:rsid w:val="005C7E25"/>
    <w:rsid w:val="005D1860"/>
    <w:rsid w:val="005D48AD"/>
    <w:rsid w:val="005E1D42"/>
    <w:rsid w:val="005E4EEA"/>
    <w:rsid w:val="005E6E73"/>
    <w:rsid w:val="005E763E"/>
    <w:rsid w:val="005F7A4C"/>
    <w:rsid w:val="00600087"/>
    <w:rsid w:val="00600722"/>
    <w:rsid w:val="00600A64"/>
    <w:rsid w:val="006055F5"/>
    <w:rsid w:val="006057D1"/>
    <w:rsid w:val="006061BA"/>
    <w:rsid w:val="00613017"/>
    <w:rsid w:val="0061523B"/>
    <w:rsid w:val="006245CA"/>
    <w:rsid w:val="006264B3"/>
    <w:rsid w:val="0062733C"/>
    <w:rsid w:val="00630546"/>
    <w:rsid w:val="006316B5"/>
    <w:rsid w:val="0063243D"/>
    <w:rsid w:val="00635807"/>
    <w:rsid w:val="0063653A"/>
    <w:rsid w:val="00640529"/>
    <w:rsid w:val="006441A4"/>
    <w:rsid w:val="0064766E"/>
    <w:rsid w:val="00650153"/>
    <w:rsid w:val="00651128"/>
    <w:rsid w:val="00655712"/>
    <w:rsid w:val="0065696E"/>
    <w:rsid w:val="00656C20"/>
    <w:rsid w:val="00657285"/>
    <w:rsid w:val="00672D60"/>
    <w:rsid w:val="00673126"/>
    <w:rsid w:val="006733D9"/>
    <w:rsid w:val="00675DEB"/>
    <w:rsid w:val="00680ECA"/>
    <w:rsid w:val="00682139"/>
    <w:rsid w:val="006868BC"/>
    <w:rsid w:val="00690B36"/>
    <w:rsid w:val="00691B71"/>
    <w:rsid w:val="006A4BA9"/>
    <w:rsid w:val="006A5560"/>
    <w:rsid w:val="006A60DF"/>
    <w:rsid w:val="006B1178"/>
    <w:rsid w:val="006B1B0E"/>
    <w:rsid w:val="006B6069"/>
    <w:rsid w:val="006C1F7A"/>
    <w:rsid w:val="006C1FAF"/>
    <w:rsid w:val="006D1D39"/>
    <w:rsid w:val="006D3DEF"/>
    <w:rsid w:val="006D63DB"/>
    <w:rsid w:val="006E05B4"/>
    <w:rsid w:val="006E7036"/>
    <w:rsid w:val="006F0EA7"/>
    <w:rsid w:val="006F4013"/>
    <w:rsid w:val="006F5C81"/>
    <w:rsid w:val="00702702"/>
    <w:rsid w:val="007062FA"/>
    <w:rsid w:val="00710776"/>
    <w:rsid w:val="007131E8"/>
    <w:rsid w:val="007138AE"/>
    <w:rsid w:val="007144FC"/>
    <w:rsid w:val="007156C3"/>
    <w:rsid w:val="00721B0B"/>
    <w:rsid w:val="00723635"/>
    <w:rsid w:val="0072399F"/>
    <w:rsid w:val="00723C39"/>
    <w:rsid w:val="007244BB"/>
    <w:rsid w:val="00744FFC"/>
    <w:rsid w:val="007501DD"/>
    <w:rsid w:val="00751B9A"/>
    <w:rsid w:val="00751E9C"/>
    <w:rsid w:val="00752A7F"/>
    <w:rsid w:val="00755449"/>
    <w:rsid w:val="007576BB"/>
    <w:rsid w:val="0076106A"/>
    <w:rsid w:val="007612F1"/>
    <w:rsid w:val="0076704B"/>
    <w:rsid w:val="00770D52"/>
    <w:rsid w:val="007717CD"/>
    <w:rsid w:val="007758E2"/>
    <w:rsid w:val="007813F2"/>
    <w:rsid w:val="00787332"/>
    <w:rsid w:val="00791A0A"/>
    <w:rsid w:val="00793FBD"/>
    <w:rsid w:val="0079569A"/>
    <w:rsid w:val="007A0275"/>
    <w:rsid w:val="007A432F"/>
    <w:rsid w:val="007A7CBE"/>
    <w:rsid w:val="007B78E8"/>
    <w:rsid w:val="007C1599"/>
    <w:rsid w:val="007D07BD"/>
    <w:rsid w:val="007D2DBC"/>
    <w:rsid w:val="007D446F"/>
    <w:rsid w:val="007D798F"/>
    <w:rsid w:val="007E710E"/>
    <w:rsid w:val="007F12AF"/>
    <w:rsid w:val="007F26BC"/>
    <w:rsid w:val="00803501"/>
    <w:rsid w:val="0080366E"/>
    <w:rsid w:val="00804724"/>
    <w:rsid w:val="008053EF"/>
    <w:rsid w:val="00812803"/>
    <w:rsid w:val="00814808"/>
    <w:rsid w:val="00815C36"/>
    <w:rsid w:val="00816BC9"/>
    <w:rsid w:val="00825DF8"/>
    <w:rsid w:val="00827ACF"/>
    <w:rsid w:val="00832943"/>
    <w:rsid w:val="00833811"/>
    <w:rsid w:val="00834098"/>
    <w:rsid w:val="0084177D"/>
    <w:rsid w:val="0084299B"/>
    <w:rsid w:val="00847033"/>
    <w:rsid w:val="00850740"/>
    <w:rsid w:val="0085130E"/>
    <w:rsid w:val="008524F1"/>
    <w:rsid w:val="0085319E"/>
    <w:rsid w:val="0086090B"/>
    <w:rsid w:val="00861C14"/>
    <w:rsid w:val="00863EDD"/>
    <w:rsid w:val="0086428D"/>
    <w:rsid w:val="008647DD"/>
    <w:rsid w:val="00864D67"/>
    <w:rsid w:val="00871D4C"/>
    <w:rsid w:val="008747F9"/>
    <w:rsid w:val="00881E42"/>
    <w:rsid w:val="008846A4"/>
    <w:rsid w:val="00890EEB"/>
    <w:rsid w:val="00891A74"/>
    <w:rsid w:val="0089647A"/>
    <w:rsid w:val="008A1C40"/>
    <w:rsid w:val="008B2A41"/>
    <w:rsid w:val="008C3E77"/>
    <w:rsid w:val="008C5442"/>
    <w:rsid w:val="008C5FA6"/>
    <w:rsid w:val="008C7312"/>
    <w:rsid w:val="008D1791"/>
    <w:rsid w:val="008E115B"/>
    <w:rsid w:val="008E19DE"/>
    <w:rsid w:val="008E36B7"/>
    <w:rsid w:val="008E6085"/>
    <w:rsid w:val="008F4071"/>
    <w:rsid w:val="00901D51"/>
    <w:rsid w:val="00913BB6"/>
    <w:rsid w:val="00920FC3"/>
    <w:rsid w:val="009238E0"/>
    <w:rsid w:val="00933772"/>
    <w:rsid w:val="00940E43"/>
    <w:rsid w:val="0094349B"/>
    <w:rsid w:val="009462A5"/>
    <w:rsid w:val="00954ED9"/>
    <w:rsid w:val="00955B80"/>
    <w:rsid w:val="009564D3"/>
    <w:rsid w:val="00957E58"/>
    <w:rsid w:val="009619DE"/>
    <w:rsid w:val="0097563F"/>
    <w:rsid w:val="00986881"/>
    <w:rsid w:val="00986A69"/>
    <w:rsid w:val="00991715"/>
    <w:rsid w:val="0099354F"/>
    <w:rsid w:val="0099458D"/>
    <w:rsid w:val="00994C5E"/>
    <w:rsid w:val="0099748C"/>
    <w:rsid w:val="00997B57"/>
    <w:rsid w:val="009A6081"/>
    <w:rsid w:val="009A6BEC"/>
    <w:rsid w:val="009B1FCE"/>
    <w:rsid w:val="009B359D"/>
    <w:rsid w:val="009C4005"/>
    <w:rsid w:val="009C76D0"/>
    <w:rsid w:val="009D296D"/>
    <w:rsid w:val="009D7736"/>
    <w:rsid w:val="009E5485"/>
    <w:rsid w:val="009E5954"/>
    <w:rsid w:val="009E6A9F"/>
    <w:rsid w:val="009F0DC8"/>
    <w:rsid w:val="009F783F"/>
    <w:rsid w:val="009F7AA6"/>
    <w:rsid w:val="00A00608"/>
    <w:rsid w:val="00A1032A"/>
    <w:rsid w:val="00A12C38"/>
    <w:rsid w:val="00A21245"/>
    <w:rsid w:val="00A26DCB"/>
    <w:rsid w:val="00A27423"/>
    <w:rsid w:val="00A36313"/>
    <w:rsid w:val="00A36EFA"/>
    <w:rsid w:val="00A371CC"/>
    <w:rsid w:val="00A40D1F"/>
    <w:rsid w:val="00A43EEA"/>
    <w:rsid w:val="00A5152E"/>
    <w:rsid w:val="00A727C6"/>
    <w:rsid w:val="00A73CD6"/>
    <w:rsid w:val="00A7474C"/>
    <w:rsid w:val="00A820AE"/>
    <w:rsid w:val="00A8361D"/>
    <w:rsid w:val="00A84149"/>
    <w:rsid w:val="00A856C7"/>
    <w:rsid w:val="00A86467"/>
    <w:rsid w:val="00A90D25"/>
    <w:rsid w:val="00A93E6B"/>
    <w:rsid w:val="00A95DF5"/>
    <w:rsid w:val="00AA148E"/>
    <w:rsid w:val="00AA5BAF"/>
    <w:rsid w:val="00AA6859"/>
    <w:rsid w:val="00AB0C7F"/>
    <w:rsid w:val="00AB191A"/>
    <w:rsid w:val="00AB6604"/>
    <w:rsid w:val="00AC06FA"/>
    <w:rsid w:val="00AC3AD9"/>
    <w:rsid w:val="00AC68A6"/>
    <w:rsid w:val="00AD00A8"/>
    <w:rsid w:val="00AD25DB"/>
    <w:rsid w:val="00AD4BFE"/>
    <w:rsid w:val="00AD5E56"/>
    <w:rsid w:val="00AE07A4"/>
    <w:rsid w:val="00AE2566"/>
    <w:rsid w:val="00AE2C0D"/>
    <w:rsid w:val="00AF317F"/>
    <w:rsid w:val="00AF6B5E"/>
    <w:rsid w:val="00B01705"/>
    <w:rsid w:val="00B04A36"/>
    <w:rsid w:val="00B1046A"/>
    <w:rsid w:val="00B15FB3"/>
    <w:rsid w:val="00B1619F"/>
    <w:rsid w:val="00B16251"/>
    <w:rsid w:val="00B21D1B"/>
    <w:rsid w:val="00B23822"/>
    <w:rsid w:val="00B246AC"/>
    <w:rsid w:val="00B2604E"/>
    <w:rsid w:val="00B345B1"/>
    <w:rsid w:val="00B376B0"/>
    <w:rsid w:val="00B422DF"/>
    <w:rsid w:val="00B42CEA"/>
    <w:rsid w:val="00B42EFA"/>
    <w:rsid w:val="00B46355"/>
    <w:rsid w:val="00B56BE5"/>
    <w:rsid w:val="00B623E3"/>
    <w:rsid w:val="00B6325A"/>
    <w:rsid w:val="00B6490D"/>
    <w:rsid w:val="00B67DEA"/>
    <w:rsid w:val="00B67F40"/>
    <w:rsid w:val="00B765D9"/>
    <w:rsid w:val="00B81814"/>
    <w:rsid w:val="00B854D5"/>
    <w:rsid w:val="00B85B94"/>
    <w:rsid w:val="00B86F03"/>
    <w:rsid w:val="00B87F1B"/>
    <w:rsid w:val="00B927BE"/>
    <w:rsid w:val="00B96B62"/>
    <w:rsid w:val="00BA434C"/>
    <w:rsid w:val="00BB3359"/>
    <w:rsid w:val="00BB6464"/>
    <w:rsid w:val="00BB6A75"/>
    <w:rsid w:val="00BB6AAA"/>
    <w:rsid w:val="00BC1661"/>
    <w:rsid w:val="00BC38C0"/>
    <w:rsid w:val="00BC4620"/>
    <w:rsid w:val="00BC508D"/>
    <w:rsid w:val="00BD5304"/>
    <w:rsid w:val="00BD5E20"/>
    <w:rsid w:val="00BD7BB3"/>
    <w:rsid w:val="00BE09DE"/>
    <w:rsid w:val="00BE3CB9"/>
    <w:rsid w:val="00BE49A4"/>
    <w:rsid w:val="00BE5D5B"/>
    <w:rsid w:val="00BF3A9F"/>
    <w:rsid w:val="00BF59CD"/>
    <w:rsid w:val="00C0039C"/>
    <w:rsid w:val="00C035FD"/>
    <w:rsid w:val="00C0603F"/>
    <w:rsid w:val="00C0690D"/>
    <w:rsid w:val="00C07719"/>
    <w:rsid w:val="00C14523"/>
    <w:rsid w:val="00C14DB2"/>
    <w:rsid w:val="00C166F1"/>
    <w:rsid w:val="00C22241"/>
    <w:rsid w:val="00C26E9B"/>
    <w:rsid w:val="00C2726D"/>
    <w:rsid w:val="00C30651"/>
    <w:rsid w:val="00C3150C"/>
    <w:rsid w:val="00C315FF"/>
    <w:rsid w:val="00C352E9"/>
    <w:rsid w:val="00C4065D"/>
    <w:rsid w:val="00C43DCE"/>
    <w:rsid w:val="00C470D0"/>
    <w:rsid w:val="00C51FD7"/>
    <w:rsid w:val="00C52BF9"/>
    <w:rsid w:val="00C533ED"/>
    <w:rsid w:val="00C602A1"/>
    <w:rsid w:val="00C60AEE"/>
    <w:rsid w:val="00C65F1A"/>
    <w:rsid w:val="00C745F5"/>
    <w:rsid w:val="00C74F62"/>
    <w:rsid w:val="00C75306"/>
    <w:rsid w:val="00C76FB3"/>
    <w:rsid w:val="00C8535D"/>
    <w:rsid w:val="00C85CD5"/>
    <w:rsid w:val="00C87D72"/>
    <w:rsid w:val="00C9761E"/>
    <w:rsid w:val="00CA7E69"/>
    <w:rsid w:val="00CB3765"/>
    <w:rsid w:val="00CB4413"/>
    <w:rsid w:val="00CB736F"/>
    <w:rsid w:val="00CC362E"/>
    <w:rsid w:val="00CC580F"/>
    <w:rsid w:val="00CD05FD"/>
    <w:rsid w:val="00CD1002"/>
    <w:rsid w:val="00CD6D74"/>
    <w:rsid w:val="00CE1735"/>
    <w:rsid w:val="00CE6242"/>
    <w:rsid w:val="00CF124C"/>
    <w:rsid w:val="00D063DC"/>
    <w:rsid w:val="00D072EF"/>
    <w:rsid w:val="00D17D8C"/>
    <w:rsid w:val="00D20498"/>
    <w:rsid w:val="00D21FEA"/>
    <w:rsid w:val="00D25370"/>
    <w:rsid w:val="00D26448"/>
    <w:rsid w:val="00D2731D"/>
    <w:rsid w:val="00D311CB"/>
    <w:rsid w:val="00D316DD"/>
    <w:rsid w:val="00D31866"/>
    <w:rsid w:val="00D3421F"/>
    <w:rsid w:val="00D3577A"/>
    <w:rsid w:val="00D37180"/>
    <w:rsid w:val="00D461B4"/>
    <w:rsid w:val="00D50D4C"/>
    <w:rsid w:val="00D52B5A"/>
    <w:rsid w:val="00D547F2"/>
    <w:rsid w:val="00D57579"/>
    <w:rsid w:val="00D60563"/>
    <w:rsid w:val="00D61219"/>
    <w:rsid w:val="00D6485C"/>
    <w:rsid w:val="00D651E2"/>
    <w:rsid w:val="00D6674B"/>
    <w:rsid w:val="00D66C97"/>
    <w:rsid w:val="00D702B2"/>
    <w:rsid w:val="00D70C7B"/>
    <w:rsid w:val="00D736EA"/>
    <w:rsid w:val="00D73FCF"/>
    <w:rsid w:val="00D926D6"/>
    <w:rsid w:val="00D92A4C"/>
    <w:rsid w:val="00D936AA"/>
    <w:rsid w:val="00D938DF"/>
    <w:rsid w:val="00D94087"/>
    <w:rsid w:val="00D9673E"/>
    <w:rsid w:val="00D96A8D"/>
    <w:rsid w:val="00D97F53"/>
    <w:rsid w:val="00DA0BC4"/>
    <w:rsid w:val="00DA1A0C"/>
    <w:rsid w:val="00DB0156"/>
    <w:rsid w:val="00DB296D"/>
    <w:rsid w:val="00DB29F7"/>
    <w:rsid w:val="00DB4FD0"/>
    <w:rsid w:val="00DB5D30"/>
    <w:rsid w:val="00DB6EC0"/>
    <w:rsid w:val="00DB7157"/>
    <w:rsid w:val="00DC1498"/>
    <w:rsid w:val="00DC1BEF"/>
    <w:rsid w:val="00DC1CD8"/>
    <w:rsid w:val="00DC5CB8"/>
    <w:rsid w:val="00DC7787"/>
    <w:rsid w:val="00DD11FC"/>
    <w:rsid w:val="00DE3A17"/>
    <w:rsid w:val="00DE6E28"/>
    <w:rsid w:val="00DF0052"/>
    <w:rsid w:val="00DF6382"/>
    <w:rsid w:val="00DF685C"/>
    <w:rsid w:val="00E02E9E"/>
    <w:rsid w:val="00E045F3"/>
    <w:rsid w:val="00E11EA7"/>
    <w:rsid w:val="00E1317A"/>
    <w:rsid w:val="00E2590B"/>
    <w:rsid w:val="00E25F77"/>
    <w:rsid w:val="00E303DF"/>
    <w:rsid w:val="00E3088C"/>
    <w:rsid w:val="00E32067"/>
    <w:rsid w:val="00E33CAC"/>
    <w:rsid w:val="00E353CF"/>
    <w:rsid w:val="00E402B1"/>
    <w:rsid w:val="00E4108E"/>
    <w:rsid w:val="00E41890"/>
    <w:rsid w:val="00E46CFD"/>
    <w:rsid w:val="00E47D6B"/>
    <w:rsid w:val="00E506B2"/>
    <w:rsid w:val="00E52214"/>
    <w:rsid w:val="00E53B60"/>
    <w:rsid w:val="00E5464E"/>
    <w:rsid w:val="00E5667A"/>
    <w:rsid w:val="00E614F1"/>
    <w:rsid w:val="00E62BC0"/>
    <w:rsid w:val="00E65D24"/>
    <w:rsid w:val="00E65D91"/>
    <w:rsid w:val="00E674D6"/>
    <w:rsid w:val="00E67ED5"/>
    <w:rsid w:val="00E730B4"/>
    <w:rsid w:val="00E749EA"/>
    <w:rsid w:val="00E7520B"/>
    <w:rsid w:val="00E77CA8"/>
    <w:rsid w:val="00E85D40"/>
    <w:rsid w:val="00E91FF0"/>
    <w:rsid w:val="00E93AE3"/>
    <w:rsid w:val="00E94E3C"/>
    <w:rsid w:val="00E976B0"/>
    <w:rsid w:val="00EA2C3F"/>
    <w:rsid w:val="00EA3340"/>
    <w:rsid w:val="00EA4554"/>
    <w:rsid w:val="00EB2EDF"/>
    <w:rsid w:val="00EB37A2"/>
    <w:rsid w:val="00EB5B20"/>
    <w:rsid w:val="00EB6439"/>
    <w:rsid w:val="00EC2E70"/>
    <w:rsid w:val="00EC35C5"/>
    <w:rsid w:val="00EC5925"/>
    <w:rsid w:val="00ED1411"/>
    <w:rsid w:val="00ED2800"/>
    <w:rsid w:val="00ED62E9"/>
    <w:rsid w:val="00EE3B77"/>
    <w:rsid w:val="00F01202"/>
    <w:rsid w:val="00F055B4"/>
    <w:rsid w:val="00F05D23"/>
    <w:rsid w:val="00F13407"/>
    <w:rsid w:val="00F15B08"/>
    <w:rsid w:val="00F174ED"/>
    <w:rsid w:val="00F23B67"/>
    <w:rsid w:val="00F23E51"/>
    <w:rsid w:val="00F33D60"/>
    <w:rsid w:val="00F36E27"/>
    <w:rsid w:val="00F374B8"/>
    <w:rsid w:val="00F5135D"/>
    <w:rsid w:val="00F55277"/>
    <w:rsid w:val="00F72CB2"/>
    <w:rsid w:val="00F73229"/>
    <w:rsid w:val="00F736BE"/>
    <w:rsid w:val="00F76D20"/>
    <w:rsid w:val="00F80E8A"/>
    <w:rsid w:val="00F82313"/>
    <w:rsid w:val="00F85F60"/>
    <w:rsid w:val="00F91852"/>
    <w:rsid w:val="00F94F0A"/>
    <w:rsid w:val="00FA3C4A"/>
    <w:rsid w:val="00FA4EA1"/>
    <w:rsid w:val="00FA5DCF"/>
    <w:rsid w:val="00FA7B02"/>
    <w:rsid w:val="00FB0E99"/>
    <w:rsid w:val="00FB115A"/>
    <w:rsid w:val="00FB167E"/>
    <w:rsid w:val="00FB1794"/>
    <w:rsid w:val="00FB3725"/>
    <w:rsid w:val="00FB3AC0"/>
    <w:rsid w:val="00FB61C0"/>
    <w:rsid w:val="00FC0B68"/>
    <w:rsid w:val="00FD32CA"/>
    <w:rsid w:val="00FD335B"/>
    <w:rsid w:val="00FD5DFD"/>
    <w:rsid w:val="00FE1807"/>
    <w:rsid w:val="00FE5679"/>
    <w:rsid w:val="00FE77CF"/>
    <w:rsid w:val="00FF0BE7"/>
    <w:rsid w:val="00FF2C6F"/>
    <w:rsid w:val="00FF7257"/>
    <w:rsid w:val="00FF75BC"/>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regrouptable v:ext="edit">
        <o:entry new="1" old="0"/>
        <o:entry new="2" old="0"/>
        <o:entry new="3" old="2"/>
        <o:entry new="4" old="3"/>
        <o:entry new="5" old="0"/>
        <o:entry new="6" old="5"/>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7157"/>
    <w:pPr>
      <w:spacing w:before="60" w:after="60" w:line="276" w:lineRule="auto"/>
      <w:ind w:left="709"/>
      <w:jc w:val="both"/>
    </w:pPr>
    <w:rPr>
      <w:rFonts w:ascii="Verdana" w:hAnsi="Verdana" w:cs="Arial"/>
      <w:szCs w:val="24"/>
    </w:rPr>
  </w:style>
  <w:style w:type="paragraph" w:styleId="Heading1">
    <w:name w:val="heading 1"/>
    <w:basedOn w:val="H2"/>
    <w:next w:val="Normal"/>
    <w:link w:val="Heading1Char"/>
    <w:qFormat/>
    <w:rsid w:val="00C0690D"/>
    <w:pPr>
      <w:jc w:val="center"/>
      <w:outlineLvl w:val="0"/>
    </w:pPr>
  </w:style>
  <w:style w:type="paragraph" w:styleId="Heading7">
    <w:name w:val="heading 7"/>
    <w:basedOn w:val="Normal"/>
    <w:next w:val="Normal"/>
    <w:link w:val="Heading7Char"/>
    <w:semiHidden/>
    <w:unhideWhenUsed/>
    <w:qFormat/>
    <w:rsid w:val="00B96B62"/>
    <w:pPr>
      <w:spacing w:before="240"/>
      <w:outlineLvl w:val="6"/>
    </w:pPr>
    <w:rPr>
      <w:rFonts w:ascii="Calibri" w:hAnsi="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630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3D13"/>
    <w:pPr>
      <w:ind w:left="720" w:hanging="357"/>
      <w:contextualSpacing/>
    </w:pPr>
    <w:rPr>
      <w:rFonts w:ascii="Calibri" w:hAnsi="Calibri"/>
      <w:sz w:val="22"/>
      <w:szCs w:val="22"/>
      <w:lang w:eastAsia="en-US"/>
    </w:rPr>
  </w:style>
  <w:style w:type="character" w:styleId="CommentReference">
    <w:name w:val="annotation reference"/>
    <w:basedOn w:val="DefaultParagraphFont"/>
    <w:rsid w:val="007E710E"/>
    <w:rPr>
      <w:sz w:val="16"/>
      <w:szCs w:val="16"/>
    </w:rPr>
  </w:style>
  <w:style w:type="paragraph" w:styleId="CommentText">
    <w:name w:val="annotation text"/>
    <w:basedOn w:val="Normal"/>
    <w:link w:val="CommentTextChar"/>
    <w:rsid w:val="007E710E"/>
    <w:rPr>
      <w:szCs w:val="20"/>
    </w:rPr>
  </w:style>
  <w:style w:type="character" w:customStyle="1" w:styleId="CommentTextChar">
    <w:name w:val="Comment Text Char"/>
    <w:basedOn w:val="DefaultParagraphFont"/>
    <w:link w:val="CommentText"/>
    <w:rsid w:val="007E710E"/>
  </w:style>
  <w:style w:type="paragraph" w:styleId="CommentSubject">
    <w:name w:val="annotation subject"/>
    <w:basedOn w:val="CommentText"/>
    <w:next w:val="CommentText"/>
    <w:link w:val="CommentSubjectChar"/>
    <w:rsid w:val="007E710E"/>
    <w:rPr>
      <w:b/>
      <w:bCs/>
    </w:rPr>
  </w:style>
  <w:style w:type="character" w:customStyle="1" w:styleId="CommentSubjectChar">
    <w:name w:val="Comment Subject Char"/>
    <w:basedOn w:val="CommentTextChar"/>
    <w:link w:val="CommentSubject"/>
    <w:rsid w:val="007E710E"/>
    <w:rPr>
      <w:b/>
      <w:bCs/>
    </w:rPr>
  </w:style>
  <w:style w:type="paragraph" w:styleId="BalloonText">
    <w:name w:val="Balloon Text"/>
    <w:basedOn w:val="Normal"/>
    <w:link w:val="BalloonTextChar"/>
    <w:rsid w:val="007E710E"/>
    <w:rPr>
      <w:rFonts w:ascii="Tahoma" w:hAnsi="Tahoma" w:cs="Tahoma"/>
      <w:sz w:val="16"/>
      <w:szCs w:val="16"/>
    </w:rPr>
  </w:style>
  <w:style w:type="character" w:customStyle="1" w:styleId="BalloonTextChar">
    <w:name w:val="Balloon Text Char"/>
    <w:basedOn w:val="DefaultParagraphFont"/>
    <w:link w:val="BalloonText"/>
    <w:rsid w:val="007E710E"/>
    <w:rPr>
      <w:rFonts w:ascii="Tahoma" w:hAnsi="Tahoma" w:cs="Tahoma"/>
      <w:sz w:val="16"/>
      <w:szCs w:val="16"/>
    </w:rPr>
  </w:style>
  <w:style w:type="paragraph" w:styleId="Header">
    <w:name w:val="header"/>
    <w:basedOn w:val="Normal"/>
    <w:link w:val="HeaderChar"/>
    <w:rsid w:val="001E3DD1"/>
    <w:pPr>
      <w:tabs>
        <w:tab w:val="center" w:pos="4513"/>
        <w:tab w:val="right" w:pos="9026"/>
      </w:tabs>
    </w:pPr>
  </w:style>
  <w:style w:type="character" w:customStyle="1" w:styleId="HeaderChar">
    <w:name w:val="Header Char"/>
    <w:basedOn w:val="DefaultParagraphFont"/>
    <w:link w:val="Header"/>
    <w:rsid w:val="001E3DD1"/>
    <w:rPr>
      <w:sz w:val="24"/>
      <w:szCs w:val="24"/>
    </w:rPr>
  </w:style>
  <w:style w:type="paragraph" w:styleId="Footer">
    <w:name w:val="footer"/>
    <w:basedOn w:val="Normal"/>
    <w:link w:val="FooterChar"/>
    <w:uiPriority w:val="99"/>
    <w:rsid w:val="001E3DD1"/>
    <w:pPr>
      <w:tabs>
        <w:tab w:val="center" w:pos="4513"/>
        <w:tab w:val="right" w:pos="9026"/>
      </w:tabs>
    </w:pPr>
  </w:style>
  <w:style w:type="character" w:customStyle="1" w:styleId="FooterChar">
    <w:name w:val="Footer Char"/>
    <w:basedOn w:val="DefaultParagraphFont"/>
    <w:link w:val="Footer"/>
    <w:uiPriority w:val="99"/>
    <w:rsid w:val="001E3DD1"/>
    <w:rPr>
      <w:sz w:val="24"/>
      <w:szCs w:val="24"/>
    </w:rPr>
  </w:style>
  <w:style w:type="paragraph" w:customStyle="1" w:styleId="Verdana14ptlightgrey">
    <w:name w:val="Verdana 14pt light grey"/>
    <w:basedOn w:val="Normal"/>
    <w:uiPriority w:val="99"/>
    <w:rsid w:val="00395FCB"/>
    <w:pPr>
      <w:spacing w:after="240"/>
    </w:pPr>
    <w:rPr>
      <w:rFonts w:cs="Verdana"/>
      <w:color w:val="818A8F"/>
      <w:sz w:val="28"/>
      <w:szCs w:val="28"/>
      <w:lang w:val="en-US" w:eastAsia="en-US"/>
    </w:rPr>
  </w:style>
  <w:style w:type="paragraph" w:customStyle="1" w:styleId="Verdana25ptlightgreen">
    <w:name w:val="Verdana 25pt light green"/>
    <w:basedOn w:val="Normal"/>
    <w:uiPriority w:val="99"/>
    <w:rsid w:val="00395FCB"/>
    <w:pPr>
      <w:spacing w:after="400"/>
    </w:pPr>
    <w:rPr>
      <w:rFonts w:ascii="Verdana-Bold" w:hAnsi="Verdana-Bold" w:cs="Verdana-Bold"/>
      <w:b/>
      <w:bCs/>
      <w:color w:val="8CC63F"/>
      <w:sz w:val="50"/>
      <w:szCs w:val="50"/>
      <w:lang w:val="en-US" w:eastAsia="en-US"/>
    </w:rPr>
  </w:style>
  <w:style w:type="paragraph" w:customStyle="1" w:styleId="VerdanaGreyHeading">
    <w:name w:val="Verdana Grey Heading"/>
    <w:basedOn w:val="Verdana25ptlightgreen"/>
    <w:uiPriority w:val="99"/>
    <w:rsid w:val="00395FCB"/>
    <w:rPr>
      <w:noProof/>
      <w:color w:val="37424A"/>
      <w:sz w:val="36"/>
      <w:lang w:val="en-AU" w:eastAsia="en-AU"/>
    </w:rPr>
  </w:style>
  <w:style w:type="paragraph" w:customStyle="1" w:styleId="NormalIndent1">
    <w:name w:val="Normal Indent1"/>
    <w:basedOn w:val="Normal"/>
    <w:link w:val="NormalindentChar"/>
    <w:uiPriority w:val="99"/>
    <w:rsid w:val="00031002"/>
    <w:pPr>
      <w:spacing w:after="240"/>
      <w:ind w:left="851"/>
    </w:pPr>
    <w:rPr>
      <w:color w:val="37424A"/>
      <w:sz w:val="18"/>
      <w:szCs w:val="18"/>
      <w:lang w:eastAsia="en-US"/>
    </w:rPr>
  </w:style>
  <w:style w:type="character" w:customStyle="1" w:styleId="NormalindentChar">
    <w:name w:val="Normal indent Char"/>
    <w:basedOn w:val="DefaultParagraphFont"/>
    <w:link w:val="NormalIndent1"/>
    <w:uiPriority w:val="99"/>
    <w:locked/>
    <w:rsid w:val="00031002"/>
    <w:rPr>
      <w:rFonts w:ascii="Verdana" w:hAnsi="Verdana"/>
      <w:color w:val="37424A"/>
      <w:sz w:val="18"/>
      <w:szCs w:val="18"/>
      <w:lang w:eastAsia="en-US"/>
    </w:rPr>
  </w:style>
  <w:style w:type="paragraph" w:customStyle="1" w:styleId="Tabletext">
    <w:name w:val="Table text"/>
    <w:basedOn w:val="Normal"/>
    <w:uiPriority w:val="99"/>
    <w:rsid w:val="00031002"/>
    <w:rPr>
      <w:color w:val="333333"/>
      <w:sz w:val="18"/>
      <w:lang w:eastAsia="en-US"/>
    </w:rPr>
  </w:style>
  <w:style w:type="paragraph" w:customStyle="1" w:styleId="Tableheading">
    <w:name w:val="Table heading"/>
    <w:basedOn w:val="Tabletext"/>
    <w:rsid w:val="00031002"/>
    <w:rPr>
      <w:b/>
      <w:color w:val="FFFFFF"/>
    </w:rPr>
  </w:style>
  <w:style w:type="paragraph" w:customStyle="1" w:styleId="Verdana14ptlightgreen">
    <w:name w:val="Verdana 14pt light green"/>
    <w:basedOn w:val="Normal"/>
    <w:uiPriority w:val="99"/>
    <w:rsid w:val="00031002"/>
    <w:pPr>
      <w:keepNext/>
      <w:spacing w:after="120"/>
    </w:pPr>
    <w:rPr>
      <w:b/>
      <w:bCs/>
      <w:color w:val="8CC63F"/>
      <w:szCs w:val="20"/>
      <w:lang w:eastAsia="en-US"/>
    </w:rPr>
  </w:style>
  <w:style w:type="paragraph" w:styleId="Title">
    <w:name w:val="Title"/>
    <w:basedOn w:val="Normal"/>
    <w:next w:val="Normal"/>
    <w:link w:val="TitleChar"/>
    <w:qFormat/>
    <w:rsid w:val="00C4065D"/>
    <w:pPr>
      <w:jc w:val="center"/>
    </w:pPr>
    <w:rPr>
      <w:rFonts w:cs="Tahoma"/>
      <w:b/>
      <w:bCs/>
      <w:color w:val="8CC63F"/>
      <w:sz w:val="32"/>
      <w:szCs w:val="36"/>
    </w:rPr>
  </w:style>
  <w:style w:type="character" w:customStyle="1" w:styleId="TitleChar">
    <w:name w:val="Title Char"/>
    <w:basedOn w:val="DefaultParagraphFont"/>
    <w:link w:val="Title"/>
    <w:rsid w:val="00C4065D"/>
    <w:rPr>
      <w:rFonts w:ascii="Verdana" w:hAnsi="Verdana" w:cs="Tahoma"/>
      <w:b/>
      <w:bCs/>
      <w:color w:val="8CC63F"/>
      <w:sz w:val="32"/>
      <w:szCs w:val="36"/>
    </w:rPr>
  </w:style>
  <w:style w:type="character" w:customStyle="1" w:styleId="Heading1Char">
    <w:name w:val="Heading 1 Char"/>
    <w:basedOn w:val="DefaultParagraphFont"/>
    <w:link w:val="Heading1"/>
    <w:rsid w:val="00C0690D"/>
    <w:rPr>
      <w:rFonts w:ascii="Verdana" w:hAnsi="Verdana" w:cs="Arial"/>
      <w:b/>
      <w:sz w:val="18"/>
      <w:szCs w:val="18"/>
      <w:lang w:eastAsia="en-US"/>
    </w:rPr>
  </w:style>
  <w:style w:type="character" w:styleId="Strong">
    <w:name w:val="Strong"/>
    <w:qFormat/>
    <w:rsid w:val="00DB7157"/>
    <w:rPr>
      <w:b/>
    </w:rPr>
  </w:style>
  <w:style w:type="paragraph" w:customStyle="1" w:styleId="H2">
    <w:name w:val="H2"/>
    <w:basedOn w:val="Tabletext"/>
    <w:qFormat/>
    <w:rsid w:val="00C4065D"/>
    <w:pPr>
      <w:ind w:left="34" w:firstLine="675"/>
    </w:pPr>
    <w:rPr>
      <w:b/>
      <w:i/>
      <w:color w:val="8CC63F"/>
      <w:szCs w:val="18"/>
    </w:rPr>
  </w:style>
  <w:style w:type="paragraph" w:customStyle="1" w:styleId="H3">
    <w:name w:val="H3"/>
    <w:basedOn w:val="Normal"/>
    <w:qFormat/>
    <w:rsid w:val="00C4065D"/>
    <w:pPr>
      <w:numPr>
        <w:numId w:val="1"/>
      </w:numPr>
      <w:ind w:hanging="720"/>
    </w:pPr>
    <w:rPr>
      <w:b/>
      <w:color w:val="37424A"/>
      <w:sz w:val="22"/>
    </w:rPr>
  </w:style>
  <w:style w:type="paragraph" w:customStyle="1" w:styleId="Style1">
    <w:name w:val="Style1"/>
    <w:basedOn w:val="Normal"/>
    <w:qFormat/>
    <w:rsid w:val="00DB7157"/>
  </w:style>
  <w:style w:type="paragraph" w:customStyle="1" w:styleId="T2">
    <w:name w:val="T2"/>
    <w:basedOn w:val="Verdana25ptlightgreen"/>
    <w:qFormat/>
    <w:rsid w:val="00FF0BE7"/>
    <w:rPr>
      <w:rFonts w:ascii="Verdana" w:hAnsi="Verdana" w:cs="Tahoma"/>
      <w:noProof/>
    </w:rPr>
  </w:style>
  <w:style w:type="paragraph" w:customStyle="1" w:styleId="T3">
    <w:name w:val="T3"/>
    <w:basedOn w:val="VerdanaGreyHeading"/>
    <w:qFormat/>
    <w:rsid w:val="00FF0BE7"/>
  </w:style>
  <w:style w:type="paragraph" w:customStyle="1" w:styleId="T4">
    <w:name w:val="T4"/>
    <w:basedOn w:val="Verdana14ptlightgrey"/>
    <w:qFormat/>
    <w:rsid w:val="00FF0BE7"/>
  </w:style>
  <w:style w:type="character" w:customStyle="1" w:styleId="Heading7Char">
    <w:name w:val="Heading 7 Char"/>
    <w:basedOn w:val="DefaultParagraphFont"/>
    <w:link w:val="Heading7"/>
    <w:semiHidden/>
    <w:rsid w:val="00B96B62"/>
    <w:rPr>
      <w:rFonts w:ascii="Calibri" w:eastAsia="Times New Roman" w:hAnsi="Calibri" w:cs="Times New Roman"/>
      <w:sz w:val="24"/>
      <w:szCs w:val="24"/>
    </w:rPr>
  </w:style>
  <w:style w:type="paragraph" w:styleId="NormalWeb">
    <w:name w:val="Normal (Web)"/>
    <w:basedOn w:val="Normal"/>
    <w:uiPriority w:val="99"/>
    <w:unhideWhenUsed/>
    <w:rsid w:val="00363B04"/>
    <w:pPr>
      <w:spacing w:before="100" w:beforeAutospacing="1" w:after="100" w:afterAutospacing="1" w:line="240" w:lineRule="auto"/>
      <w:ind w:left="0"/>
      <w:jc w:val="left"/>
    </w:pPr>
    <w:rPr>
      <w:rFonts w:ascii="Times New Roman" w:hAnsi="Times New Roman" w:cs="Times New Roman"/>
      <w:sz w:val="24"/>
    </w:rPr>
  </w:style>
  <w:style w:type="character" w:styleId="Hyperlink">
    <w:name w:val="Hyperlink"/>
    <w:basedOn w:val="DefaultParagraphFont"/>
    <w:uiPriority w:val="99"/>
    <w:unhideWhenUsed/>
    <w:rsid w:val="00363B04"/>
    <w:rPr>
      <w:color w:val="0000FF"/>
      <w:u w:val="single"/>
    </w:rPr>
  </w:style>
  <w:style w:type="paragraph" w:customStyle="1" w:styleId="DraftHeading3">
    <w:name w:val="Draft Heading 3"/>
    <w:basedOn w:val="Normal"/>
    <w:next w:val="Normal"/>
    <w:rsid w:val="00363B04"/>
    <w:pPr>
      <w:overflowPunct w:val="0"/>
      <w:autoSpaceDE w:val="0"/>
      <w:autoSpaceDN w:val="0"/>
      <w:adjustRightInd w:val="0"/>
      <w:spacing w:before="120" w:after="0" w:line="240" w:lineRule="auto"/>
      <w:ind w:left="0"/>
      <w:jc w:val="left"/>
      <w:textAlignment w:val="baseline"/>
    </w:pPr>
    <w:rPr>
      <w:rFonts w:ascii="Times New Roman" w:hAnsi="Times New Roman" w:cs="Times New Roman"/>
      <w:sz w:val="24"/>
      <w:szCs w:val="20"/>
      <w:lang w:eastAsia="en-US"/>
    </w:rPr>
  </w:style>
  <w:style w:type="paragraph" w:customStyle="1" w:styleId="DraftHeading2">
    <w:name w:val="Draft Heading 2"/>
    <w:basedOn w:val="Normal"/>
    <w:next w:val="Normal"/>
    <w:rsid w:val="00363B04"/>
    <w:pPr>
      <w:overflowPunct w:val="0"/>
      <w:autoSpaceDE w:val="0"/>
      <w:autoSpaceDN w:val="0"/>
      <w:adjustRightInd w:val="0"/>
      <w:spacing w:before="120" w:after="0" w:line="240" w:lineRule="auto"/>
      <w:ind w:left="0"/>
      <w:jc w:val="left"/>
      <w:textAlignment w:val="baseline"/>
    </w:pPr>
    <w:rPr>
      <w:rFonts w:ascii="Times New Roman" w:hAnsi="Times New Roman" w:cs="Times New Roman"/>
      <w:sz w:val="24"/>
      <w:szCs w:val="20"/>
      <w:lang w:eastAsia="en-US"/>
    </w:rPr>
  </w:style>
  <w:style w:type="paragraph" w:customStyle="1" w:styleId="DraftHeading1">
    <w:name w:val="Draft Heading 1"/>
    <w:basedOn w:val="Normal"/>
    <w:next w:val="Normal"/>
    <w:rsid w:val="00363B04"/>
    <w:pPr>
      <w:overflowPunct w:val="0"/>
      <w:autoSpaceDE w:val="0"/>
      <w:autoSpaceDN w:val="0"/>
      <w:adjustRightInd w:val="0"/>
      <w:spacing w:before="120" w:after="0" w:line="240" w:lineRule="auto"/>
      <w:ind w:left="0"/>
      <w:jc w:val="left"/>
      <w:textAlignment w:val="baseline"/>
      <w:outlineLvl w:val="2"/>
    </w:pPr>
    <w:rPr>
      <w:rFonts w:ascii="Times New Roman" w:hAnsi="Times New Roman" w:cs="Times New Roman"/>
      <w:b/>
      <w:sz w:val="24"/>
      <w:lang w:eastAsia="en-US"/>
    </w:rPr>
  </w:style>
  <w:style w:type="paragraph" w:customStyle="1" w:styleId="DraftHeading4">
    <w:name w:val="Draft Heading 4"/>
    <w:basedOn w:val="Normal"/>
    <w:next w:val="Normal"/>
    <w:rsid w:val="00505FF8"/>
    <w:pPr>
      <w:overflowPunct w:val="0"/>
      <w:autoSpaceDE w:val="0"/>
      <w:autoSpaceDN w:val="0"/>
      <w:adjustRightInd w:val="0"/>
      <w:spacing w:before="120" w:after="0" w:line="240" w:lineRule="auto"/>
      <w:ind w:left="0"/>
      <w:jc w:val="left"/>
      <w:textAlignment w:val="baseline"/>
    </w:pPr>
    <w:rPr>
      <w:rFonts w:ascii="Times New Roman" w:hAnsi="Times New Roman" w:cs="Times New Roman"/>
      <w:sz w:val="24"/>
      <w:szCs w:val="20"/>
      <w:lang w:eastAsia="en-US"/>
    </w:rPr>
  </w:style>
  <w:style w:type="paragraph" w:styleId="FootnoteText">
    <w:name w:val="footnote text"/>
    <w:basedOn w:val="Normal"/>
    <w:link w:val="FootnoteTextChar"/>
    <w:uiPriority w:val="99"/>
    <w:unhideWhenUsed/>
    <w:rsid w:val="003641F8"/>
    <w:pPr>
      <w:spacing w:before="0" w:after="0" w:line="240" w:lineRule="auto"/>
      <w:ind w:left="0"/>
      <w:jc w:val="left"/>
    </w:pPr>
    <w:rPr>
      <w:rFonts w:ascii="Calibri" w:eastAsia="Calibri" w:hAnsi="Calibri" w:cs="Times New Roman"/>
      <w:szCs w:val="20"/>
      <w:lang w:eastAsia="en-US"/>
    </w:rPr>
  </w:style>
  <w:style w:type="character" w:customStyle="1" w:styleId="FootnoteTextChar">
    <w:name w:val="Footnote Text Char"/>
    <w:basedOn w:val="DefaultParagraphFont"/>
    <w:link w:val="FootnoteText"/>
    <w:uiPriority w:val="99"/>
    <w:rsid w:val="003641F8"/>
    <w:rPr>
      <w:rFonts w:ascii="Calibri" w:eastAsia="Calibri" w:hAnsi="Calibri" w:cs="Times New Roman"/>
      <w:lang w:eastAsia="en-US"/>
    </w:rPr>
  </w:style>
  <w:style w:type="character" w:styleId="FootnoteReference">
    <w:name w:val="footnote reference"/>
    <w:basedOn w:val="DefaultParagraphFont"/>
    <w:uiPriority w:val="99"/>
    <w:unhideWhenUsed/>
    <w:rsid w:val="003641F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0558D-FC10-4634-AFDF-867385EE9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3928</Words>
  <Characters>21871</Characters>
  <Application>Microsoft Office Word</Application>
  <DocSecurity>0</DocSecurity>
  <Lines>1988</Lines>
  <Paragraphs>832</Paragraphs>
  <ScaleCrop>false</ScaleCrop>
  <HeadingPairs>
    <vt:vector size="2" baseType="variant">
      <vt:variant>
        <vt:lpstr>Title</vt:lpstr>
      </vt:variant>
      <vt:variant>
        <vt:i4>1</vt:i4>
      </vt:variant>
    </vt:vector>
  </HeadingPairs>
  <TitlesOfParts>
    <vt:vector size="1" baseType="lpstr">
      <vt:lpstr>VicRoads policy template</vt:lpstr>
    </vt:vector>
  </TitlesOfParts>
  <Company>VicRoads</Company>
  <LinksUpToDate>false</LinksUpToDate>
  <CharactersWithSpaces>24967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 v3 Part 2.1 - Conducting On road Trials of New and Innovative Treatments Guideline</dc:title>
  <dc:subject>Traffic Engineering Manual</dc:subject>
  <dc:creator>VicRoads</dc:creator>
  <cp:keywords>Trial, innovation</cp:keywords>
  <dc:description/>
  <cp:lastModifiedBy>coulsoe</cp:lastModifiedBy>
  <cp:revision>3</cp:revision>
  <cp:lastPrinted>2014-08-13T23:26:00Z</cp:lastPrinted>
  <dcterms:created xsi:type="dcterms:W3CDTF">2015-01-14T00:33:00Z</dcterms:created>
  <dcterms:modified xsi:type="dcterms:W3CDTF">2016-12-06T03:24:00Z</dcterms:modified>
</cp:coreProperties>
</file>